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ascii="华文细黑" w:hAnsi="Times New Roman" w:eastAsia="华文细黑" w:cs="Times New Roman"/>
          <w:b/>
          <w:bCs/>
          <w:sz w:val="36"/>
          <w:szCs w:val="36"/>
        </w:rPr>
      </w:pPr>
      <w:bookmarkStart w:id="217" w:name="_GoBack"/>
      <w:bookmarkEnd w:id="217"/>
    </w:p>
    <w:p>
      <w:pPr>
        <w:autoSpaceDE w:val="0"/>
        <w:autoSpaceDN w:val="0"/>
        <w:adjustRightInd w:val="0"/>
        <w:spacing w:line="360" w:lineRule="auto"/>
        <w:jc w:val="center"/>
        <w:rPr>
          <w:rFonts w:ascii="宋体" w:hAnsi="Cambria Math" w:eastAsia="宋体" w:cs="宋体"/>
          <w:b/>
          <w:kern w:val="0"/>
          <w:sz w:val="36"/>
          <w:szCs w:val="36"/>
        </w:rPr>
      </w:pPr>
      <w:r>
        <w:rPr>
          <w:rFonts w:hint="eastAsia" w:ascii="宋体" w:hAnsi="Cambria Math" w:eastAsia="宋体" w:cs="宋体"/>
          <w:b/>
          <w:kern w:val="0"/>
          <w:sz w:val="36"/>
          <w:szCs w:val="36"/>
        </w:rPr>
        <w:t>东园路管网综合改造工程焊接钢管采购项目</w:t>
      </w: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jc w:val="center"/>
        <w:rPr>
          <w:rFonts w:ascii="宋体" w:hAnsi="Cambria Math" w:eastAsia="宋体" w:cs="宋体"/>
          <w:b/>
          <w:kern w:val="0"/>
          <w:sz w:val="36"/>
          <w:szCs w:val="36"/>
        </w:rPr>
      </w:pPr>
    </w:p>
    <w:p>
      <w:pPr>
        <w:autoSpaceDE w:val="0"/>
        <w:autoSpaceDN w:val="0"/>
        <w:adjustRightInd w:val="0"/>
        <w:spacing w:line="360" w:lineRule="auto"/>
        <w:ind w:firstLine="3654" w:firstLineChars="700"/>
        <w:jc w:val="left"/>
        <w:rPr>
          <w:rFonts w:ascii="楷体_GB2312" w:hAnsi="Cambria Math" w:eastAsia="楷体_GB2312" w:cs="Cambria Math"/>
          <w:b/>
          <w:kern w:val="0"/>
          <w:sz w:val="52"/>
          <w:szCs w:val="52"/>
        </w:rPr>
      </w:pPr>
      <w:r>
        <w:rPr>
          <w:rFonts w:hint="eastAsia" w:ascii="宋体" w:hAnsi="Cambria Math" w:eastAsia="宋体" w:cs="宋体"/>
          <w:b/>
          <w:kern w:val="0"/>
          <w:sz w:val="52"/>
          <w:szCs w:val="52"/>
        </w:rPr>
        <w:t>招标文件</w:t>
      </w:r>
    </w:p>
    <w:p>
      <w:pPr>
        <w:jc w:val="center"/>
        <w:rPr>
          <w:rFonts w:ascii="Times New Roman" w:hAnsi="Times New Roman" w:eastAsia="宋体" w:cs="Times New Roman"/>
          <w:sz w:val="28"/>
          <w:szCs w:val="20"/>
        </w:rPr>
      </w:pPr>
    </w:p>
    <w:p>
      <w:pPr>
        <w:jc w:val="center"/>
        <w:rPr>
          <w:rFonts w:ascii="楷体_GB2312" w:hAnsi="楷体_GB2312" w:eastAsia="宋体" w:cs="Times New Roman"/>
          <w:b/>
          <w:sz w:val="32"/>
          <w:szCs w:val="32"/>
        </w:rPr>
      </w:pPr>
    </w:p>
    <w:p>
      <w:pPr>
        <w:jc w:val="center"/>
        <w:rPr>
          <w:rFonts w:ascii="楷体_GB2312" w:hAnsi="楷体_GB2312" w:eastAsia="宋体" w:cs="Times New Roman"/>
          <w:b/>
          <w:sz w:val="32"/>
          <w:szCs w:val="32"/>
        </w:rPr>
      </w:pPr>
      <w:r>
        <w:rPr>
          <w:rFonts w:hint="eastAsia" w:ascii="楷体_GB2312" w:hAnsi="楷体_GB2312" w:eastAsia="宋体" w:cs="Times New Roman"/>
          <w:b/>
          <w:sz w:val="32"/>
          <w:szCs w:val="32"/>
        </w:rPr>
        <w:t>标段编号：YZXEPT202505004001</w:t>
      </w: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jc w:val="center"/>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楷体_GB2312" w:hAnsi="楷体_GB2312" w:eastAsia="宋体" w:cs="Times New Roman"/>
          <w:sz w:val="28"/>
          <w:szCs w:val="20"/>
        </w:rPr>
      </w:pPr>
    </w:p>
    <w:p>
      <w:pPr>
        <w:spacing w:after="120"/>
        <w:rPr>
          <w:rFonts w:ascii="Times New Roman" w:hAnsi="Times New Roman" w:eastAsia="宋体" w:cs="Times New Roman"/>
          <w:szCs w:val="20"/>
        </w:rPr>
      </w:pPr>
    </w:p>
    <w:p>
      <w:pPr>
        <w:snapToGrid w:val="0"/>
        <w:spacing w:line="300" w:lineRule="auto"/>
        <w:ind w:firstLine="987" w:firstLineChars="346"/>
        <w:jc w:val="center"/>
        <w:rPr>
          <w:rFonts w:ascii="楷体_GB2312" w:hAnsi="楷体_GB2312" w:eastAsia="宋体" w:cs="楷体_GB2312"/>
          <w:b/>
          <w:spacing w:val="-8"/>
          <w:kern w:val="0"/>
          <w:sz w:val="30"/>
          <w:szCs w:val="30"/>
        </w:rPr>
      </w:pPr>
    </w:p>
    <w:p>
      <w:pPr>
        <w:snapToGrid w:val="0"/>
        <w:spacing w:line="360" w:lineRule="auto"/>
        <w:jc w:val="center"/>
        <w:rPr>
          <w:rFonts w:ascii="宋体" w:hAnsi="Times New Roman" w:eastAsia="宋体" w:cs="宋体"/>
          <w:b/>
          <w:spacing w:val="-8"/>
          <w:kern w:val="0"/>
          <w:sz w:val="30"/>
          <w:szCs w:val="30"/>
        </w:rPr>
      </w:pPr>
      <w:r>
        <w:rPr>
          <w:rFonts w:hint="eastAsia" w:ascii="宋体" w:hAnsi="Times New Roman" w:eastAsia="宋体" w:cs="宋体"/>
          <w:b/>
          <w:spacing w:val="-8"/>
          <w:kern w:val="0"/>
          <w:sz w:val="30"/>
          <w:szCs w:val="30"/>
        </w:rPr>
        <w:t>招标人：</w:t>
      </w:r>
      <w:r>
        <w:rPr>
          <w:rFonts w:hint="eastAsia" w:ascii="宋体" w:hAnsi="Times New Roman" w:eastAsia="宋体" w:cs="宋体"/>
          <w:b/>
          <w:bCs/>
          <w:sz w:val="30"/>
          <w:szCs w:val="30"/>
        </w:rPr>
        <w:t>仪征市博润建材商贸有限公司</w:t>
      </w:r>
    </w:p>
    <w:p>
      <w:pPr>
        <w:snapToGrid w:val="0"/>
        <w:spacing w:line="360" w:lineRule="auto"/>
        <w:jc w:val="center"/>
        <w:rPr>
          <w:rFonts w:ascii="宋体" w:hAnsi="Times New Roman" w:eastAsia="宋体" w:cs="宋体"/>
          <w:b/>
          <w:bCs/>
          <w:spacing w:val="-8"/>
          <w:kern w:val="0"/>
          <w:sz w:val="32"/>
          <w:szCs w:val="32"/>
        </w:rPr>
      </w:pPr>
      <w:r>
        <w:rPr>
          <w:rFonts w:hint="eastAsia" w:ascii="宋体" w:hAnsi="Times New Roman" w:eastAsia="宋体" w:cs="宋体"/>
          <w:b/>
          <w:spacing w:val="-8"/>
          <w:kern w:val="0"/>
          <w:sz w:val="30"/>
          <w:szCs w:val="30"/>
        </w:rPr>
        <w:t>招标代理单位（章）：</w:t>
      </w:r>
      <w:r>
        <w:rPr>
          <w:rFonts w:hint="eastAsia" w:ascii="宋体" w:hAnsi="Times New Roman" w:eastAsia="宋体" w:cs="宋体"/>
          <w:b/>
          <w:bCs/>
          <w:sz w:val="32"/>
          <w:szCs w:val="32"/>
        </w:rPr>
        <w:t>扬州市聚力项目管理有限公司</w:t>
      </w:r>
    </w:p>
    <w:p>
      <w:pPr>
        <w:snapToGrid w:val="0"/>
        <w:spacing w:line="360" w:lineRule="auto"/>
        <w:ind w:firstLine="1711" w:firstLineChars="600"/>
        <w:rPr>
          <w:rFonts w:ascii="宋体" w:hAnsi="Times New Roman" w:eastAsia="宋体" w:cs="宋体"/>
          <w:b/>
          <w:spacing w:val="-8"/>
          <w:kern w:val="0"/>
          <w:sz w:val="30"/>
          <w:szCs w:val="30"/>
        </w:rPr>
        <w:sectPr>
          <w:footerReference r:id="rId3" w:type="default"/>
          <w:footerReference r:id="rId4" w:type="even"/>
          <w:pgSz w:w="11906" w:h="16838"/>
          <w:pgMar w:top="1361" w:right="1587" w:bottom="1361" w:left="1587" w:header="851" w:footer="624" w:gutter="0"/>
          <w:pgNumType w:start="1"/>
          <w:cols w:space="720" w:num="1"/>
          <w:docGrid w:linePitch="312" w:charSpace="0"/>
        </w:sectPr>
      </w:pPr>
      <w:r>
        <w:rPr>
          <w:rFonts w:hint="eastAsia" w:ascii="宋体" w:hAnsi="Times New Roman" w:eastAsia="宋体" w:cs="宋体"/>
          <w:b/>
          <w:spacing w:val="-8"/>
          <w:kern w:val="0"/>
          <w:sz w:val="30"/>
          <w:szCs w:val="30"/>
        </w:rPr>
        <w:t xml:space="preserve">招标时间： 2025年 </w:t>
      </w:r>
      <w:r>
        <w:rPr>
          <w:rFonts w:hint="eastAsia" w:ascii="宋体" w:hAnsi="Times New Roman" w:eastAsia="宋体" w:cs="宋体"/>
          <w:b/>
          <w:spacing w:val="-8"/>
          <w:kern w:val="0"/>
          <w:sz w:val="30"/>
          <w:szCs w:val="30"/>
          <w:u w:val="single"/>
        </w:rPr>
        <w:t xml:space="preserve"> 5 </w:t>
      </w:r>
      <w:r>
        <w:rPr>
          <w:rFonts w:hint="eastAsia" w:ascii="宋体" w:hAnsi="Times New Roman" w:eastAsia="宋体" w:cs="宋体"/>
          <w:b/>
          <w:spacing w:val="-8"/>
          <w:kern w:val="0"/>
          <w:sz w:val="30"/>
          <w:szCs w:val="30"/>
        </w:rPr>
        <w:t>月</w:t>
      </w:r>
      <w:r>
        <w:rPr>
          <w:rFonts w:hint="eastAsia" w:ascii="宋体" w:hAnsi="Times New Roman" w:eastAsia="宋体" w:cs="宋体"/>
          <w:b/>
          <w:spacing w:val="-8"/>
          <w:kern w:val="0"/>
          <w:sz w:val="30"/>
          <w:szCs w:val="30"/>
          <w:u w:val="single"/>
        </w:rPr>
        <w:t xml:space="preserve"> 12 </w:t>
      </w:r>
      <w:r>
        <w:rPr>
          <w:rFonts w:hint="eastAsia" w:ascii="宋体" w:hAnsi="Times New Roman" w:eastAsia="宋体" w:cs="宋体"/>
          <w:b/>
          <w:spacing w:val="-8"/>
          <w:kern w:val="0"/>
          <w:sz w:val="30"/>
          <w:szCs w:val="30"/>
        </w:rPr>
        <w:t>日</w:t>
      </w:r>
    </w:p>
    <w:p>
      <w:pPr>
        <w:tabs>
          <w:tab w:val="right" w:leader="dot" w:pos="9638"/>
        </w:tabs>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目   录</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招标公告</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投标人须知</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评标办法（经评审的最低投标价法）</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合同条款及格式</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项目需求</w:t>
      </w:r>
    </w:p>
    <w:p>
      <w:pPr>
        <w:numPr>
          <w:ilvl w:val="0"/>
          <w:numId w:val="1"/>
        </w:numPr>
        <w:spacing w:line="480" w:lineRule="auto"/>
        <w:ind w:left="1678" w:hanging="839"/>
        <w:rPr>
          <w:rFonts w:ascii="Times New Roman" w:hAnsi="Times New Roman" w:eastAsia="宋体" w:cs="Times New Roman"/>
          <w:b/>
          <w:sz w:val="32"/>
          <w:szCs w:val="32"/>
        </w:rPr>
      </w:pPr>
      <w:r>
        <w:rPr>
          <w:rFonts w:hint="eastAsia" w:ascii="Times New Roman" w:hAnsi="Times New Roman" w:eastAsia="宋体" w:cs="Times New Roman"/>
          <w:b/>
          <w:sz w:val="32"/>
          <w:szCs w:val="32"/>
        </w:rPr>
        <w:t>投标文件格式</w:t>
      </w:r>
    </w:p>
    <w:p>
      <w:pPr>
        <w:spacing w:line="480" w:lineRule="auto"/>
        <w:ind w:left="839"/>
        <w:rPr>
          <w:rFonts w:ascii="Times New Roman" w:hAnsi="Times New Roman" w:eastAsia="宋体" w:cs="Times New Roman"/>
          <w:b/>
          <w:sz w:val="32"/>
          <w:szCs w:val="32"/>
        </w:rPr>
      </w:pPr>
    </w:p>
    <w:p>
      <w:pPr>
        <w:spacing w:after="120"/>
        <w:rPr>
          <w:rFonts w:ascii="Times New Roman" w:hAnsi="Times New Roman" w:eastAsia="宋体" w:cs="Times New Roman"/>
          <w:szCs w:val="20"/>
        </w:rPr>
      </w:pPr>
    </w:p>
    <w:p>
      <w:pPr>
        <w:snapToGrid w:val="0"/>
        <w:rPr>
          <w:rFonts w:ascii="Times New Roman" w:hAnsi="Times New Roman" w:eastAsia="宋体" w:cs="Times New Roman"/>
          <w:b/>
          <w:bCs/>
          <w:kern w:val="44"/>
          <w:sz w:val="28"/>
          <w:szCs w:val="28"/>
        </w:rPr>
      </w:pPr>
      <w:bookmarkStart w:id="0" w:name="_Toc23499"/>
      <w:bookmarkStart w:id="1" w:name="_Toc16073"/>
      <w:bookmarkStart w:id="2" w:name="_Toc22899"/>
    </w:p>
    <w:p>
      <w:pPr>
        <w:keepNext/>
        <w:keepLines/>
        <w:numPr>
          <w:ilvl w:val="0"/>
          <w:numId w:val="2"/>
        </w:numPr>
        <w:tabs>
          <w:tab w:val="left" w:pos="0"/>
        </w:tabs>
        <w:adjustRightInd w:val="0"/>
        <w:spacing w:line="500" w:lineRule="exact"/>
        <w:jc w:val="center"/>
        <w:outlineLvl w:val="0"/>
        <w:rPr>
          <w:rFonts w:ascii="Times New Roman" w:hAnsi="Times New Roman" w:eastAsia="宋体" w:cs="Times New Roman"/>
          <w:b/>
          <w:kern w:val="44"/>
          <w:sz w:val="48"/>
          <w:szCs w:val="44"/>
        </w:rPr>
        <w:sectPr>
          <w:headerReference r:id="rId5" w:type="default"/>
          <w:footerReference r:id="rId6" w:type="default"/>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hint="eastAsia" w:ascii="Times New Roman" w:hAnsi="Times New Roman" w:eastAsia="宋体" w:cs="Times New Roman"/>
          <w:b/>
          <w:kern w:val="44"/>
          <w:sz w:val="32"/>
          <w:szCs w:val="32"/>
        </w:rPr>
        <w:t>第一章招标公告</w:t>
      </w:r>
    </w:p>
    <w:p>
      <w:pPr>
        <w:spacing w:line="500" w:lineRule="exact"/>
        <w:ind w:firstLine="1928" w:firstLineChars="600"/>
        <w:outlineLvl w:val="0"/>
        <w:rPr>
          <w:rFonts w:ascii="楷体_GB2312" w:hAnsi="楷体_GB2312" w:eastAsia="宋体" w:cs="Times New Roman"/>
          <w:b/>
          <w:bCs/>
          <w:kern w:val="36"/>
          <w:sz w:val="32"/>
          <w:szCs w:val="32"/>
        </w:rPr>
      </w:pPr>
    </w:p>
    <w:p>
      <w:pPr>
        <w:spacing w:line="500" w:lineRule="exact"/>
        <w:jc w:val="center"/>
        <w:outlineLvl w:val="0"/>
        <w:rPr>
          <w:rFonts w:ascii="楷体_GB2312" w:hAnsi="楷体_GB2312" w:eastAsia="宋体" w:cs="Times New Roman"/>
          <w:b/>
          <w:bCs/>
          <w:kern w:val="36"/>
          <w:sz w:val="30"/>
          <w:szCs w:val="30"/>
        </w:rPr>
      </w:pPr>
      <w:bookmarkStart w:id="3" w:name="OLE_LINK3"/>
      <w:bookmarkStart w:id="4" w:name="OLE_LINK1"/>
      <w:bookmarkStart w:id="5" w:name="OLE_LINK5"/>
      <w:bookmarkStart w:id="6" w:name="OLE_LINK2"/>
      <w:r>
        <w:rPr>
          <w:rFonts w:hint="eastAsia" w:ascii="楷体_GB2312" w:hAnsi="楷体_GB2312" w:eastAsia="宋体" w:cs="Times New Roman"/>
          <w:b/>
          <w:bCs/>
          <w:kern w:val="36"/>
          <w:sz w:val="30"/>
          <w:szCs w:val="30"/>
        </w:rPr>
        <w:t>东园路管网综合改造工程焊接钢管采购项目招标公告</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 招标条件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color w:val="000000"/>
          <w:szCs w:val="21"/>
        </w:rPr>
        <w:t>本招标项目</w:t>
      </w:r>
      <w:r>
        <w:rPr>
          <w:rFonts w:hint="eastAsia" w:ascii="宋体" w:hAnsi="宋体" w:eastAsia="宋体" w:cs="宋体"/>
          <w:b/>
          <w:kern w:val="0"/>
          <w:szCs w:val="21"/>
          <w:u w:val="thick"/>
        </w:rPr>
        <w:t>东园路管网综合改造工程焊接钢管采购项目</w:t>
      </w:r>
      <w:r>
        <w:rPr>
          <w:rFonts w:hint="eastAsia" w:ascii="宋体" w:hAnsi="宋体" w:eastAsia="宋体" w:cs="宋体"/>
          <w:color w:val="000000"/>
          <w:szCs w:val="21"/>
        </w:rPr>
        <w:t>(项目名称)，招标人为</w:t>
      </w:r>
      <w:r>
        <w:rPr>
          <w:rFonts w:hint="eastAsia" w:ascii="宋体" w:hAnsi="宋体" w:eastAsia="宋体" w:cs="宋体"/>
          <w:b/>
          <w:kern w:val="0"/>
          <w:szCs w:val="21"/>
          <w:u w:val="thick"/>
        </w:rPr>
        <w:t>仪征市博润建材商贸有限公司</w:t>
      </w:r>
      <w:r>
        <w:rPr>
          <w:rFonts w:hint="eastAsia" w:ascii="宋体" w:hAnsi="宋体" w:eastAsia="宋体" w:cs="宋体"/>
          <w:color w:val="000000"/>
          <w:szCs w:val="21"/>
        </w:rPr>
        <w:t xml:space="preserve">，招标代理机构为 </w:t>
      </w:r>
      <w:r>
        <w:rPr>
          <w:rFonts w:hint="eastAsia" w:ascii="Times New Roman" w:hAnsi="Times New Roman" w:eastAsia="宋体" w:cs="Times New Roman"/>
          <w:b/>
          <w:snapToGrid w:val="0"/>
          <w:color w:val="000000"/>
          <w:szCs w:val="21"/>
          <w:u w:val="single"/>
        </w:rPr>
        <w:t>扬州市聚力项目管理有限公司</w:t>
      </w:r>
      <w:r>
        <w:rPr>
          <w:rFonts w:hint="eastAsia" w:ascii="宋体" w:hAnsi="宋体" w:eastAsia="宋体" w:cs="宋体"/>
          <w:color w:val="000000"/>
          <w:szCs w:val="21"/>
        </w:rPr>
        <w:t>，建设资金来自</w:t>
      </w:r>
      <w:r>
        <w:rPr>
          <w:rFonts w:hint="eastAsia" w:ascii="Times New Roman" w:hAnsi="Times New Roman" w:eastAsia="宋体" w:cs="Times New Roman"/>
          <w:b/>
          <w:snapToGrid w:val="0"/>
          <w:color w:val="000000"/>
          <w:szCs w:val="21"/>
          <w:u w:val="single"/>
        </w:rPr>
        <w:t>自筹</w:t>
      </w:r>
      <w:r>
        <w:rPr>
          <w:rFonts w:hint="eastAsia" w:ascii="宋体" w:hAnsi="宋体" w:eastAsia="宋体" w:cs="宋体"/>
          <w:color w:val="000000"/>
          <w:szCs w:val="21"/>
        </w:rPr>
        <w:t>(资金来源)，项目出资比例为</w:t>
      </w:r>
      <w:r>
        <w:rPr>
          <w:rFonts w:hint="eastAsia" w:ascii="Times New Roman" w:hAnsi="Times New Roman" w:eastAsia="宋体" w:cs="Times New Roman"/>
          <w:b/>
          <w:snapToGrid w:val="0"/>
          <w:color w:val="000000"/>
          <w:szCs w:val="21"/>
          <w:u w:val="single"/>
        </w:rPr>
        <w:t>100%</w:t>
      </w:r>
      <w:r>
        <w:rPr>
          <w:rFonts w:hint="eastAsia" w:ascii="宋体" w:hAnsi="宋体" w:eastAsia="宋体" w:cs="宋体"/>
          <w:color w:val="000000"/>
          <w:szCs w:val="21"/>
        </w:rPr>
        <w:t>。项目已具备招标条件，现对该项目的</w:t>
      </w:r>
      <w:r>
        <w:rPr>
          <w:rFonts w:hint="eastAsia" w:ascii="宋体" w:hAnsi="宋体" w:eastAsia="宋体" w:cs="宋体"/>
          <w:b/>
          <w:kern w:val="0"/>
          <w:szCs w:val="21"/>
          <w:u w:val="thick"/>
        </w:rPr>
        <w:t>东园路管网综合改造工程焊接钢管采购项目</w:t>
      </w:r>
      <w:r>
        <w:rPr>
          <w:rFonts w:hint="eastAsia" w:ascii="宋体" w:hAnsi="宋体" w:eastAsia="宋体" w:cs="宋体"/>
          <w:color w:val="000000"/>
          <w:szCs w:val="21"/>
        </w:rPr>
        <w:t>进行公开招标。</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2. 项目概况与招标范围</w:t>
      </w:r>
    </w:p>
    <w:p>
      <w:pPr>
        <w:adjustRightInd w:val="0"/>
        <w:snapToGrid w:val="0"/>
        <w:spacing w:line="560" w:lineRule="exact"/>
        <w:ind w:firstLine="420" w:firstLineChars="200"/>
        <w:rPr>
          <w:rFonts w:ascii="宋体" w:hAnsi="Times New Roman" w:eastAsia="宋体" w:cs="宋体"/>
          <w:b/>
          <w:color w:val="000000"/>
          <w:szCs w:val="21"/>
          <w:u w:val="single"/>
        </w:rPr>
      </w:pPr>
      <w:r>
        <w:rPr>
          <w:rFonts w:hint="eastAsia" w:ascii="宋体" w:hAnsi="Times New Roman" w:eastAsia="宋体" w:cs="宋体"/>
          <w:szCs w:val="21"/>
        </w:rPr>
        <w:t>2.1招标范围：</w:t>
      </w:r>
      <w:r>
        <w:rPr>
          <w:rFonts w:hint="eastAsia" w:ascii="宋体" w:hAnsi="宋体" w:eastAsia="宋体" w:cs="宋体"/>
          <w:b/>
          <w:kern w:val="0"/>
          <w:szCs w:val="21"/>
          <w:u w:val="thick"/>
        </w:rPr>
        <w:t>采购</w:t>
      </w:r>
      <w:r>
        <w:rPr>
          <w:rFonts w:ascii="宋体" w:hAnsi="宋体" w:eastAsia="宋体" w:cs="宋体"/>
          <w:b/>
          <w:kern w:val="0"/>
          <w:szCs w:val="21"/>
          <w:u w:val="thick"/>
        </w:rPr>
        <w:t>D630、D1220</w:t>
      </w:r>
      <w:r>
        <w:rPr>
          <w:rFonts w:hint="eastAsia" w:ascii="宋体" w:hAnsi="宋体" w:eastAsia="宋体" w:cs="宋体"/>
          <w:b/>
          <w:kern w:val="0"/>
          <w:szCs w:val="21"/>
          <w:u w:val="thick"/>
        </w:rPr>
        <w:t>焊接钢管，D820焊接钢管（拖拉管）等，具体要求详见招标文件第五章项目需求。</w:t>
      </w:r>
    </w:p>
    <w:p>
      <w:pPr>
        <w:spacing w:after="120" w:line="560" w:lineRule="exact"/>
        <w:ind w:firstLine="420" w:firstLineChars="200"/>
        <w:rPr>
          <w:rFonts w:ascii="宋体" w:hAnsi="Times New Roman" w:eastAsia="宋体" w:cs="宋体"/>
          <w:szCs w:val="20"/>
        </w:rPr>
      </w:pPr>
      <w:r>
        <w:rPr>
          <w:rFonts w:hint="eastAsia" w:ascii="宋体" w:hAnsi="Times New Roman" w:eastAsia="宋体" w:cs="宋体"/>
          <w:szCs w:val="21"/>
        </w:rPr>
        <w:t>2.2供货地点：</w:t>
      </w:r>
      <w:r>
        <w:rPr>
          <w:rFonts w:hint="eastAsia" w:ascii="宋体" w:hAnsi="宋体" w:eastAsia="宋体" w:cs="宋体"/>
          <w:b/>
          <w:kern w:val="0"/>
          <w:szCs w:val="21"/>
          <w:u w:val="thick"/>
        </w:rPr>
        <w:t>仪征市东园路，具体位置按招标人要求</w:t>
      </w:r>
    </w:p>
    <w:p>
      <w:pPr>
        <w:adjustRightInd w:val="0"/>
        <w:snapToGrid w:val="0"/>
        <w:spacing w:line="560" w:lineRule="exact"/>
        <w:ind w:firstLine="420" w:firstLineChars="200"/>
        <w:rPr>
          <w:rFonts w:ascii="宋体" w:hAnsi="Times New Roman" w:eastAsia="宋体" w:cs="宋体"/>
          <w:b/>
          <w:color w:val="000000"/>
          <w:szCs w:val="21"/>
          <w:u w:val="single"/>
        </w:rPr>
      </w:pPr>
      <w:r>
        <w:rPr>
          <w:rFonts w:hint="eastAsia" w:ascii="宋体" w:hAnsi="Times New Roman" w:eastAsia="宋体" w:cs="宋体"/>
          <w:color w:val="000000"/>
          <w:szCs w:val="21"/>
        </w:rPr>
        <w:t>2.3</w:t>
      </w:r>
      <w:r>
        <w:rPr>
          <w:rFonts w:hint="eastAsia" w:ascii="宋体" w:hAnsi="Times New Roman" w:eastAsia="宋体" w:cs="宋体"/>
          <w:szCs w:val="21"/>
        </w:rPr>
        <w:t>供货</w:t>
      </w:r>
      <w:r>
        <w:rPr>
          <w:rFonts w:hint="eastAsia" w:ascii="宋体" w:hAnsi="Times New Roman" w:eastAsia="宋体" w:cs="宋体"/>
          <w:color w:val="000000"/>
          <w:szCs w:val="21"/>
        </w:rPr>
        <w:t>期：</w:t>
      </w:r>
      <w:r>
        <w:rPr>
          <w:rFonts w:hint="eastAsia" w:ascii="宋体" w:hAnsi="Times New Roman" w:eastAsia="宋体" w:cs="宋体"/>
          <w:b/>
          <w:color w:val="000000"/>
          <w:szCs w:val="21"/>
          <w:u w:val="single"/>
        </w:rPr>
        <w:t xml:space="preserve">   150日历天。</w:t>
      </w:r>
    </w:p>
    <w:p>
      <w:pPr>
        <w:spacing w:after="120" w:line="560" w:lineRule="exact"/>
        <w:ind w:firstLine="420" w:firstLineChars="200"/>
        <w:rPr>
          <w:rFonts w:ascii="宋体" w:hAnsi="Times New Roman" w:eastAsia="宋体" w:cs="宋体"/>
          <w:szCs w:val="20"/>
        </w:rPr>
      </w:pPr>
      <w:r>
        <w:rPr>
          <w:rFonts w:hint="eastAsia" w:ascii="宋体" w:hAnsi="Times New Roman" w:eastAsia="宋体" w:cs="宋体"/>
          <w:szCs w:val="20"/>
        </w:rPr>
        <w:t>2.4标段划分：</w:t>
      </w:r>
      <w:r>
        <w:rPr>
          <w:rFonts w:hint="eastAsia" w:ascii="宋体" w:hAnsi="Times New Roman" w:eastAsia="宋体" w:cs="宋体"/>
          <w:b/>
          <w:szCs w:val="20"/>
          <w:u w:val="single"/>
        </w:rPr>
        <w:t>本次招标共划分为一个标段。</w:t>
      </w:r>
    </w:p>
    <w:p>
      <w:pPr>
        <w:spacing w:after="120" w:line="560" w:lineRule="exact"/>
        <w:ind w:firstLine="420" w:firstLineChars="200"/>
        <w:rPr>
          <w:rFonts w:ascii="宋体" w:hAnsi="Times New Roman" w:eastAsia="宋体" w:cs="宋体"/>
          <w:b/>
          <w:szCs w:val="20"/>
          <w:u w:val="single"/>
        </w:rPr>
      </w:pPr>
      <w:r>
        <w:rPr>
          <w:rFonts w:hint="eastAsia" w:ascii="宋体" w:hAnsi="Times New Roman" w:eastAsia="宋体" w:cs="宋体"/>
          <w:szCs w:val="20"/>
        </w:rPr>
        <w:t>2.5</w:t>
      </w:r>
      <w:r>
        <w:rPr>
          <w:rFonts w:hint="eastAsia" w:ascii="宋体" w:hAnsi="Times New Roman" w:eastAsia="宋体" w:cs="宋体"/>
          <w:szCs w:val="21"/>
        </w:rPr>
        <w:t>合同估算价：</w:t>
      </w:r>
      <w:r>
        <w:rPr>
          <w:rFonts w:hint="eastAsia" w:ascii="宋体" w:hAnsi="Times New Roman" w:eastAsia="宋体" w:cs="宋体"/>
          <w:b/>
          <w:szCs w:val="20"/>
          <w:u w:val="single"/>
        </w:rPr>
        <w:t>约84.0221万元</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3. 投标人资格要求</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3.1具有独立订立合同的能力；</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3.2未处于被责令停业、投标资格被取消或者财产被接管、冻结和破产状态；</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3.3企业没有因骗取中标或者严重违约以及发生重大工程质量、安全生产事故等违法违规问题，被有关部门暂停投标资格并在暂停期内；</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 本次招标要求投标人在人员、设备、资金等方面具有相应的履约能力，且须具备以下条件：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3.4.1</w:t>
      </w:r>
      <w:r>
        <w:rPr>
          <w:rFonts w:hint="eastAsia" w:ascii="宋体" w:hAnsi="Times New Roman" w:eastAsia="宋体" w:cs="宋体"/>
          <w:b/>
          <w:szCs w:val="21"/>
        </w:rPr>
        <w:t>投标人应在中国境内取得有效营业执照</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3.4.2</w:t>
      </w:r>
      <w:r>
        <w:rPr>
          <w:rFonts w:hint="eastAsia" w:ascii="宋体" w:hAnsi="Times New Roman" w:eastAsia="宋体" w:cs="宋体"/>
          <w:b/>
          <w:szCs w:val="21"/>
        </w:rPr>
        <w:t>提供 DE30、DDL220、DIB20 焊接钢管的有效期内合格的检验(检测)报告</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3.4.3</w:t>
      </w:r>
      <w:r>
        <w:rPr>
          <w:rFonts w:ascii="宋体" w:hAnsi="Times New Roman" w:eastAsia="宋体" w:cs="宋体"/>
          <w:b/>
          <w:szCs w:val="21"/>
        </w:rPr>
        <w:t>投标人202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4</w:t>
      </w:r>
      <w:r>
        <w:rPr>
          <w:rFonts w:ascii="宋体" w:hAnsi="Times New Roman" w:eastAsia="宋体" w:cs="宋体"/>
          <w:b/>
          <w:szCs w:val="21"/>
        </w:rPr>
        <w:t>月1日以来（以合同签订时间为准）具有单项合同销售金额达到人民币</w:t>
      </w:r>
      <w:r>
        <w:rPr>
          <w:rFonts w:hint="eastAsia" w:ascii="宋体" w:hAnsi="Times New Roman" w:eastAsia="宋体" w:cs="宋体"/>
          <w:b/>
          <w:szCs w:val="21"/>
        </w:rPr>
        <w:t>50</w:t>
      </w:r>
      <w:r>
        <w:rPr>
          <w:rFonts w:ascii="宋体" w:hAnsi="Times New Roman" w:eastAsia="宋体" w:cs="宋体"/>
          <w:b/>
          <w:szCs w:val="21"/>
        </w:rPr>
        <w:t>万元及以上的</w:t>
      </w:r>
      <w:r>
        <w:rPr>
          <w:rFonts w:hint="eastAsia" w:ascii="宋体" w:hAnsi="Times New Roman" w:eastAsia="宋体" w:cs="宋体"/>
          <w:b/>
          <w:szCs w:val="21"/>
        </w:rPr>
        <w:t>焊接钢管</w:t>
      </w:r>
      <w:r>
        <w:rPr>
          <w:rFonts w:ascii="宋体" w:hAnsi="Times New Roman" w:eastAsia="宋体" w:cs="宋体"/>
          <w:b/>
          <w:szCs w:val="21"/>
        </w:rPr>
        <w:t>销售业绩。（提供业绩合同原件、合同对应的增值税发票原件（所提供发票必须上传到“国家税务总局全国增值税发票查验平台”进行查验），开票日期须在202</w:t>
      </w:r>
      <w:r>
        <w:rPr>
          <w:rFonts w:hint="eastAsia" w:ascii="宋体" w:hAnsi="Times New Roman" w:eastAsia="宋体" w:cs="宋体"/>
          <w:b/>
          <w:szCs w:val="21"/>
        </w:rPr>
        <w:t>2</w:t>
      </w:r>
      <w:r>
        <w:rPr>
          <w:rFonts w:ascii="宋体" w:hAnsi="Times New Roman" w:eastAsia="宋体" w:cs="宋体"/>
          <w:b/>
          <w:szCs w:val="21"/>
        </w:rPr>
        <w:t>年</w:t>
      </w:r>
      <w:r>
        <w:rPr>
          <w:rFonts w:hint="eastAsia" w:ascii="宋体" w:hAnsi="Times New Roman" w:eastAsia="宋体" w:cs="宋体"/>
          <w:b/>
          <w:szCs w:val="21"/>
        </w:rPr>
        <w:t>4</w:t>
      </w:r>
      <w:r>
        <w:rPr>
          <w:rFonts w:ascii="宋体" w:hAnsi="Times New Roman" w:eastAsia="宋体" w:cs="宋体"/>
          <w:b/>
          <w:szCs w:val="21"/>
        </w:rPr>
        <w:t>月1日后且本项目招标公告发布之前</w:t>
      </w:r>
      <w:r>
        <w:rPr>
          <w:rFonts w:hint="eastAsia" w:ascii="宋体" w:hAnsi="Times New Roman" w:eastAsia="宋体" w:cs="宋体"/>
          <w:b/>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3.4.4</w:t>
      </w:r>
      <w:r>
        <w:rPr>
          <w:rFonts w:ascii="宋体" w:hAnsi="Times New Roman" w:eastAsia="宋体" w:cs="宋体"/>
          <w:szCs w:val="21"/>
        </w:rPr>
        <w:t>具有良好的商业信誉和健全的财务会计制度；</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3.4.5</w:t>
      </w:r>
      <w:r>
        <w:rPr>
          <w:rFonts w:ascii="宋体" w:hAnsi="Times New Roman" w:eastAsia="宋体" w:cs="宋体"/>
          <w:szCs w:val="21"/>
        </w:rPr>
        <w:t>具有履行合同所必需的设备和专业技术能力</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3.4.6</w:t>
      </w:r>
      <w:r>
        <w:rPr>
          <w:rFonts w:ascii="宋体" w:hAnsi="Times New Roman" w:eastAsia="宋体" w:cs="宋体"/>
          <w:szCs w:val="21"/>
        </w:rPr>
        <w:t>有依法缴纳税收和社会保障资金的良好记录</w:t>
      </w:r>
      <w:r>
        <w:rPr>
          <w:rFonts w:hint="eastAsia" w:ascii="宋体" w:hAnsi="Times New Roman" w:eastAsia="宋体" w:cs="宋体"/>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3.4.7</w:t>
      </w:r>
      <w:r>
        <w:rPr>
          <w:rFonts w:ascii="宋体" w:hAnsi="Times New Roman" w:eastAsia="宋体" w:cs="宋体"/>
          <w:szCs w:val="21"/>
        </w:rPr>
        <w:t>法律、行政法规规定的其他条件。</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3.5本次招标</w:t>
      </w:r>
      <w:r>
        <w:rPr>
          <w:rFonts w:hint="eastAsia" w:ascii="宋体" w:hAnsi="Times New Roman" w:eastAsia="宋体" w:cs="宋体"/>
          <w:szCs w:val="21"/>
          <w:u w:val="single"/>
        </w:rPr>
        <w:t>不接受</w:t>
      </w:r>
      <w:r>
        <w:rPr>
          <w:rFonts w:hint="eastAsia" w:ascii="宋体" w:hAnsi="Times New Roman" w:eastAsia="宋体" w:cs="宋体"/>
          <w:szCs w:val="21"/>
        </w:rPr>
        <w:t>联合体投标；</w:t>
      </w:r>
    </w:p>
    <w:p>
      <w:pPr>
        <w:adjustRightInd w:val="0"/>
        <w:snapToGrid w:val="0"/>
        <w:spacing w:line="560" w:lineRule="exact"/>
        <w:ind w:left="210" w:leftChars="100" w:firstLine="210" w:firstLineChars="100"/>
        <w:rPr>
          <w:rFonts w:ascii="宋体" w:hAnsi="Times New Roman" w:eastAsia="宋体" w:cs="宋体"/>
          <w:szCs w:val="21"/>
        </w:rPr>
      </w:pPr>
      <w:r>
        <w:rPr>
          <w:rFonts w:hint="eastAsia" w:ascii="宋体" w:hAnsi="Times New Roman" w:eastAsia="宋体" w:cs="宋体"/>
          <w:szCs w:val="21"/>
        </w:rPr>
        <w:t>3.6</w:t>
      </w:r>
      <w:r>
        <w:rPr>
          <w:rFonts w:hint="eastAsia" w:ascii="宋体" w:hAnsi="宋体" w:eastAsia="宋体" w:cs="宋体"/>
          <w:color w:val="000000"/>
          <w:kern w:val="0"/>
          <w:szCs w:val="21"/>
          <w:shd w:val="clear" w:color="auto" w:fill="FFFFFF"/>
        </w:rPr>
        <w:t>投标人2025年</w:t>
      </w:r>
      <w:r>
        <w:rPr>
          <w:rFonts w:hint="eastAsia" w:ascii="宋体" w:hAnsi="宋体" w:eastAsia="宋体" w:cs="宋体"/>
          <w:color w:val="000000"/>
          <w:kern w:val="0"/>
          <w:szCs w:val="21"/>
          <w:u w:val="single"/>
          <w:shd w:val="clear" w:color="auto" w:fill="FFFFFF"/>
        </w:rPr>
        <w:t xml:space="preserve"> 2 </w:t>
      </w:r>
      <w:r>
        <w:rPr>
          <w:rFonts w:hint="eastAsia" w:ascii="宋体" w:hAnsi="宋体" w:eastAsia="宋体" w:cs="宋体"/>
          <w:color w:val="000000"/>
          <w:kern w:val="0"/>
          <w:szCs w:val="21"/>
          <w:shd w:val="clear" w:color="auto" w:fill="FFFFFF"/>
        </w:rPr>
        <w:t>月至2025年</w:t>
      </w:r>
      <w:r>
        <w:rPr>
          <w:rFonts w:hint="eastAsia" w:ascii="宋体" w:hAnsi="宋体" w:eastAsia="宋体" w:cs="宋体"/>
          <w:color w:val="000000"/>
          <w:kern w:val="0"/>
          <w:szCs w:val="21"/>
          <w:u w:val="single"/>
          <w:shd w:val="clear" w:color="auto" w:fill="FFFFFF"/>
        </w:rPr>
        <w:t xml:space="preserve"> 4 </w:t>
      </w:r>
      <w:r>
        <w:rPr>
          <w:rFonts w:hint="eastAsia" w:ascii="宋体" w:hAnsi="宋体" w:eastAsia="宋体" w:cs="宋体"/>
          <w:color w:val="000000"/>
          <w:kern w:val="0"/>
          <w:szCs w:val="21"/>
          <w:shd w:val="clear" w:color="auto" w:fill="FFFFFF"/>
        </w:rPr>
        <w:t>月任意一个月为授权委托人正常缴纳养老保险。（应提供由劳动部门出具的养老保险证明；如当地社保管理部门明确的最大查询期与规定的月份不一致时，须提供社保管理部门的文件规定；已退休人员提供退休证明）</w:t>
      </w:r>
      <w:r>
        <w:rPr>
          <w:rFonts w:hint="eastAsia" w:ascii="宋体" w:hAnsi="Times New Roman" w:eastAsia="宋体" w:cs="宋体"/>
          <w:szCs w:val="21"/>
        </w:rPr>
        <w:t>；</w:t>
      </w:r>
    </w:p>
    <w:p>
      <w:pPr>
        <w:widowControl/>
        <w:shd w:val="clear" w:color="auto" w:fill="FFFFFF"/>
        <w:spacing w:line="560" w:lineRule="exact"/>
        <w:ind w:firstLine="437"/>
        <w:jc w:val="left"/>
        <w:rPr>
          <w:rFonts w:ascii="宋体" w:hAnsi="Times New Roman" w:eastAsia="宋体" w:cs="宋体"/>
          <w:szCs w:val="21"/>
        </w:rPr>
      </w:pPr>
      <w:r>
        <w:rPr>
          <w:rFonts w:hint="eastAsia" w:ascii="宋体" w:hAnsi="宋体" w:eastAsia="宋体" w:cs="宋体"/>
          <w:color w:val="000000"/>
          <w:kern w:val="0"/>
          <w:szCs w:val="21"/>
          <w:shd w:val="clear" w:color="auto" w:fill="FFFFFF"/>
        </w:rPr>
        <w:t>3.7</w:t>
      </w:r>
      <w:r>
        <w:rPr>
          <w:rFonts w:hint="eastAsia" w:ascii="宋体" w:hAnsi="宋体" w:eastAsia="宋体" w:cs="Times New Roman"/>
          <w:szCs w:val="21"/>
        </w:rPr>
        <w:t>投标人未被“信用中国”网站（www.creditchina.gov.cn）、“中国政府采购网”(www.ccgp.gov.cn)列入失信被执行人、重大税收违法案件当事人名单、政府采购严重违法失信行为记录名单（此项在</w:t>
      </w:r>
      <w:r>
        <w:rPr>
          <w:rFonts w:ascii="Times New Roman" w:hAnsi="Times New Roman" w:eastAsia="宋体" w:cs="Times New Roman"/>
          <w:szCs w:val="21"/>
        </w:rPr>
        <w:t>开标结束后，代理机构将通过</w:t>
      </w:r>
      <w:r>
        <w:rPr>
          <w:rFonts w:hint="eastAsia" w:ascii="宋体" w:hAnsi="宋体" w:eastAsia="宋体" w:cs="Times New Roman"/>
          <w:szCs w:val="21"/>
        </w:rPr>
        <w:t>“信用中国”网站（www.creditchina.gov.cn）、“中国政府采购网”(www.ccgp.gov.cn)</w:t>
      </w:r>
      <w:r>
        <w:rPr>
          <w:rFonts w:ascii="Times New Roman" w:hAnsi="Times New Roman" w:eastAsia="宋体" w:cs="Times New Roman"/>
          <w:szCs w:val="21"/>
        </w:rPr>
        <w:t>对投标人信用记录进行</w:t>
      </w:r>
      <w:r>
        <w:rPr>
          <w:rFonts w:hint="eastAsia" w:ascii="Times New Roman" w:hAnsi="Times New Roman" w:eastAsia="宋体" w:cs="Times New Roman"/>
          <w:szCs w:val="21"/>
        </w:rPr>
        <w:t>查询</w:t>
      </w:r>
      <w:r>
        <w:rPr>
          <w:rFonts w:ascii="Times New Roman" w:hAnsi="Times New Roman" w:eastAsia="宋体" w:cs="Times New Roman"/>
          <w:szCs w:val="21"/>
        </w:rPr>
        <w:t>，对列入失信被执行人、重大税收违法案件当事人名单、政府采购严重违法失信行为记录名单的投标人，其投标将被拒绝。</w:t>
      </w:r>
      <w:r>
        <w:rPr>
          <w:rFonts w:hint="eastAsia" w:ascii="宋体" w:hAnsi="宋体" w:eastAsia="宋体" w:cs="Times New Roman"/>
          <w:szCs w:val="21"/>
        </w:rPr>
        <w:t>）。</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3.8符合相关法律、法规规定的其他要求。</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4. 评标方法</w:t>
      </w:r>
    </w:p>
    <w:p>
      <w:pPr>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采用</w:t>
      </w:r>
      <w:r>
        <w:rPr>
          <w:rFonts w:hint="eastAsia" w:ascii="宋体" w:hAnsi="宋体" w:eastAsia="宋体" w:cs="宋体"/>
          <w:b/>
          <w:szCs w:val="21"/>
        </w:rPr>
        <w:t>经评审的最低投标价法</w:t>
      </w:r>
      <w:r>
        <w:rPr>
          <w:rFonts w:hint="eastAsia" w:ascii="宋体" w:hAnsi="Times New Roman" w:eastAsia="宋体" w:cs="宋体"/>
          <w:szCs w:val="21"/>
        </w:rPr>
        <w:t>，评标标准和方法详见招标文件第三章。</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5. 招标文件的获取</w:t>
      </w:r>
    </w:p>
    <w:p>
      <w:pPr>
        <w:spacing w:line="560" w:lineRule="exact"/>
        <w:ind w:firstLine="420" w:firstLineChars="200"/>
        <w:rPr>
          <w:rFonts w:ascii="宋体" w:hAnsi="宋体" w:eastAsia="宋体" w:cs="宋体"/>
          <w:szCs w:val="21"/>
        </w:rPr>
      </w:pPr>
      <w:r>
        <w:rPr>
          <w:rFonts w:hint="eastAsia" w:ascii="宋体" w:hAnsi="宋体" w:eastAsia="宋体" w:cs="宋体"/>
          <w:szCs w:val="21"/>
        </w:rPr>
        <w:t>5.1获取时间：</w:t>
      </w:r>
      <w:r>
        <w:rPr>
          <w:rFonts w:hint="eastAsia" w:ascii="宋体" w:hAnsi="宋体" w:eastAsia="宋体" w:cs="宋体"/>
          <w:b/>
          <w:szCs w:val="21"/>
          <w:u w:val="single"/>
        </w:rPr>
        <w:t xml:space="preserve">2025年  5 月 12 日至 2025年 5 月 19 日 </w:t>
      </w:r>
      <w:r>
        <w:rPr>
          <w:rFonts w:hint="eastAsia" w:ascii="宋体" w:hAnsi="宋体" w:eastAsia="宋体" w:cs="宋体"/>
          <w:szCs w:val="21"/>
        </w:rPr>
        <w:t>。</w:t>
      </w:r>
    </w:p>
    <w:p>
      <w:pPr>
        <w:spacing w:line="560" w:lineRule="exact"/>
        <w:ind w:firstLine="420" w:firstLineChars="200"/>
        <w:rPr>
          <w:rFonts w:ascii="宋体" w:hAnsi="宋体" w:eastAsia="宋体" w:cs="宋体"/>
          <w:b/>
          <w:color w:val="000000"/>
          <w:szCs w:val="21"/>
          <w:u w:val="single"/>
        </w:rPr>
      </w:pPr>
      <w:r>
        <w:rPr>
          <w:rFonts w:hint="eastAsia" w:ascii="宋体" w:hAnsi="宋体" w:eastAsia="宋体" w:cs="宋体"/>
          <w:szCs w:val="21"/>
        </w:rPr>
        <w:t>5.2获取方式：</w:t>
      </w:r>
      <w:r>
        <w:rPr>
          <w:rFonts w:hint="eastAsia" w:ascii="宋体" w:hAnsi="宋体" w:eastAsia="宋体" w:cs="宋体"/>
          <w:b/>
          <w:szCs w:val="21"/>
          <w:u w:val="single"/>
        </w:rPr>
        <w:t>投标人使用“江苏CA数字证书”登录“仪征</w:t>
      </w:r>
      <w:r>
        <w:rPr>
          <w:rFonts w:hint="eastAsia" w:ascii="宋体" w:hAnsi="宋体" w:eastAsia="宋体" w:cs="宋体"/>
          <w:b/>
          <w:color w:val="000000"/>
          <w:szCs w:val="21"/>
          <w:u w:val="single"/>
        </w:rPr>
        <w:t>市限额以下公共资源交易平台”获取   。</w:t>
      </w:r>
    </w:p>
    <w:p>
      <w:pPr>
        <w:spacing w:line="56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本招标公告及招标文件中“电子招标投标交易平台”是指：仪征市限额以下公共资源交易平台；</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szCs w:val="21"/>
        </w:rPr>
        <w:t>5.3 投标工具使用等相关费用150元/标段，售后不退。</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6. 投标文件的递交</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 xml:space="preserve">6.1 </w:t>
      </w:r>
      <w:bookmarkStart w:id="7" w:name="OLE_LINK4"/>
      <w:r>
        <w:rPr>
          <w:rFonts w:hint="eastAsia" w:ascii="宋体" w:hAnsi="宋体" w:eastAsia="宋体" w:cs="宋体"/>
          <w:color w:val="000000"/>
          <w:szCs w:val="21"/>
        </w:rPr>
        <w:t>投标截止时间和开标时间：</w:t>
      </w:r>
      <w:bookmarkEnd w:id="7"/>
      <w:r>
        <w:rPr>
          <w:rFonts w:hint="eastAsia" w:ascii="宋体" w:hAnsi="宋体" w:eastAsia="宋体" w:cs="宋体"/>
          <w:b/>
          <w:color w:val="000000"/>
          <w:szCs w:val="21"/>
          <w:u w:val="single"/>
        </w:rPr>
        <w:t>2025</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5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23  </w:t>
      </w:r>
      <w:r>
        <w:rPr>
          <w:rFonts w:hint="eastAsia" w:ascii="宋体" w:hAnsi="宋体" w:eastAsia="宋体" w:cs="宋体"/>
          <w:b/>
          <w:color w:val="000000"/>
          <w:szCs w:val="21"/>
        </w:rPr>
        <w:t>日</w:t>
      </w:r>
      <w:r>
        <w:rPr>
          <w:rFonts w:hint="eastAsia" w:ascii="宋体" w:hAnsi="宋体" w:eastAsia="宋体" w:cs="宋体"/>
          <w:b/>
          <w:color w:val="000000"/>
          <w:szCs w:val="21"/>
          <w:u w:val="single"/>
        </w:rPr>
        <w:t>09</w:t>
      </w:r>
      <w:r>
        <w:rPr>
          <w:rFonts w:hint="eastAsia" w:ascii="宋体" w:hAnsi="宋体" w:eastAsia="宋体" w:cs="宋体"/>
          <w:b/>
          <w:color w:val="000000"/>
          <w:szCs w:val="21"/>
        </w:rPr>
        <w:t>时</w:t>
      </w:r>
      <w:r>
        <w:rPr>
          <w:rFonts w:hint="eastAsia" w:ascii="宋体" w:hAnsi="宋体" w:eastAsia="宋体" w:cs="宋体"/>
          <w:b/>
          <w:color w:val="000000"/>
          <w:szCs w:val="21"/>
          <w:u w:val="single"/>
        </w:rPr>
        <w:t xml:space="preserve"> 00</w:t>
      </w:r>
      <w:r>
        <w:rPr>
          <w:rFonts w:hint="eastAsia" w:ascii="宋体" w:hAnsi="宋体" w:eastAsia="宋体" w:cs="宋体"/>
          <w:b/>
          <w:color w:val="000000"/>
          <w:szCs w:val="21"/>
        </w:rPr>
        <w:t>分（北京时间）</w:t>
      </w:r>
      <w:r>
        <w:rPr>
          <w:rFonts w:hint="eastAsia" w:ascii="宋体" w:hAnsi="宋体" w:eastAsia="宋体" w:cs="宋体"/>
          <w:color w:val="000000"/>
          <w:szCs w:val="21"/>
        </w:rPr>
        <w:t xml:space="preserve"> </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6.2开标现场地址：扬州市聚力项目管理有限公司开标室（仪征经济开发区闽泰大道9号，仪征市高新技术创业园内A6号楼三楼）。</w:t>
      </w:r>
    </w:p>
    <w:p>
      <w:pPr>
        <w:spacing w:line="560" w:lineRule="exact"/>
        <w:ind w:firstLine="435"/>
        <w:rPr>
          <w:rFonts w:ascii="宋体" w:hAnsi="宋体" w:eastAsia="宋体" w:cs="宋体"/>
          <w:color w:val="000000"/>
          <w:szCs w:val="21"/>
        </w:rPr>
      </w:pPr>
      <w:r>
        <w:rPr>
          <w:rFonts w:hint="eastAsia" w:ascii="宋体" w:hAnsi="宋体" w:eastAsia="宋体" w:cs="宋体"/>
          <w:color w:val="000000"/>
          <w:szCs w:val="21"/>
        </w:rPr>
        <w:t>6.3投标文件提交：投标人须在投标截止时间前通过“电子招标投标交易平台”提交电子投标文件。</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宋体"/>
          <w:color w:val="000000"/>
          <w:szCs w:val="21"/>
        </w:rPr>
        <w:t>6.4本项目采用不见面开标：投标人无需到达开标现场，具体要求详见招标文件。</w:t>
      </w:r>
    </w:p>
    <w:p>
      <w:pPr>
        <w:topLinePunct/>
        <w:adjustRightInd w:val="0"/>
        <w:snapToGrid w:val="0"/>
        <w:spacing w:line="560" w:lineRule="exact"/>
        <w:ind w:firstLine="422" w:firstLineChars="200"/>
        <w:rPr>
          <w:rFonts w:ascii="宋体" w:hAnsi="Times New Roman" w:eastAsia="宋体" w:cs="宋体"/>
          <w:szCs w:val="21"/>
        </w:rPr>
      </w:pPr>
      <w:r>
        <w:rPr>
          <w:rFonts w:hint="eastAsia" w:ascii="宋体" w:hAnsi="Times New Roman" w:eastAsia="宋体" w:cs="宋体"/>
          <w:b/>
          <w:bCs/>
          <w:szCs w:val="21"/>
        </w:rPr>
        <w:t>7.资格审查</w:t>
      </w:r>
    </w:p>
    <w:p>
      <w:pPr>
        <w:topLinePunct/>
        <w:adjustRightInd w:val="0"/>
        <w:snapToGrid w:val="0"/>
        <w:spacing w:line="560" w:lineRule="exact"/>
        <w:ind w:firstLine="420" w:firstLineChars="200"/>
        <w:rPr>
          <w:rFonts w:ascii="宋体" w:hAnsi="Times New Roman" w:eastAsia="宋体" w:cs="宋体"/>
          <w:szCs w:val="21"/>
        </w:rPr>
      </w:pPr>
      <w:r>
        <w:rPr>
          <w:rFonts w:hint="eastAsia" w:ascii="宋体" w:hAnsi="Times New Roman" w:eastAsia="宋体" w:cs="宋体"/>
          <w:szCs w:val="21"/>
        </w:rPr>
        <w:t>采用资格后审方式进行资格审查。</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8.发布公告的媒介</w:t>
      </w:r>
    </w:p>
    <w:p>
      <w:pPr>
        <w:adjustRightInd w:val="0"/>
        <w:snapToGrid w:val="0"/>
        <w:spacing w:line="560" w:lineRule="exact"/>
        <w:ind w:firstLine="420" w:firstLineChars="200"/>
        <w:rPr>
          <w:rFonts w:ascii="宋体" w:hAnsi="Times New Roman" w:eastAsia="宋体" w:cs="宋体"/>
          <w:szCs w:val="21"/>
        </w:rPr>
      </w:pPr>
      <w:r>
        <w:rPr>
          <w:rFonts w:hint="eastAsia" w:ascii="宋体" w:hAnsi="宋体" w:eastAsia="宋体" w:cs="Times New Roman"/>
          <w:color w:val="000000"/>
          <w:szCs w:val="21"/>
        </w:rPr>
        <w:t>本次招标公告在</w:t>
      </w:r>
      <w:r>
        <w:rPr>
          <w:rFonts w:hint="eastAsia" w:ascii="宋体" w:hAnsi="宋体" w:eastAsia="宋体" w:cs="Times New Roman"/>
          <w:b/>
          <w:color w:val="000000"/>
          <w:szCs w:val="21"/>
        </w:rPr>
        <w:t>仪征市限额以下公共资源交易平台（</w:t>
      </w:r>
      <w:r>
        <w:rPr>
          <w:rFonts w:ascii="宋体" w:hAnsi="宋体" w:eastAsia="宋体" w:cs="Times New Roman"/>
          <w:b/>
          <w:color w:val="000000"/>
          <w:szCs w:val="21"/>
        </w:rPr>
        <w:t>http://yizheng.etrading.cn</w:t>
      </w:r>
      <w:r>
        <w:rPr>
          <w:rFonts w:hint="eastAsia" w:ascii="宋体" w:hAnsi="宋体" w:eastAsia="宋体" w:cs="Times New Roman"/>
          <w:b/>
          <w:color w:val="000000"/>
          <w:szCs w:val="21"/>
        </w:rPr>
        <w:t>）</w:t>
      </w:r>
      <w:r>
        <w:rPr>
          <w:rFonts w:hint="eastAsia" w:ascii="宋体" w:hAnsi="宋体" w:eastAsia="宋体" w:cs="Times New Roman"/>
          <w:color w:val="000000"/>
          <w:szCs w:val="21"/>
        </w:rPr>
        <w:t>上发布</w:t>
      </w:r>
    </w:p>
    <w:p>
      <w:pPr>
        <w:adjustRightInd w:val="0"/>
        <w:snapToGrid w:val="0"/>
        <w:spacing w:line="560" w:lineRule="exact"/>
        <w:ind w:firstLine="422" w:firstLineChars="200"/>
        <w:outlineLvl w:val="1"/>
        <w:rPr>
          <w:rFonts w:ascii="宋体" w:hAnsi="Times New Roman" w:eastAsia="宋体" w:cs="宋体"/>
          <w:b/>
          <w:bCs/>
          <w:szCs w:val="21"/>
        </w:rPr>
      </w:pPr>
      <w:r>
        <w:rPr>
          <w:rFonts w:hint="eastAsia" w:ascii="宋体" w:hAnsi="Times New Roman" w:eastAsia="宋体" w:cs="宋体"/>
          <w:b/>
          <w:bCs/>
          <w:szCs w:val="21"/>
        </w:rPr>
        <w:t>10.联系方式</w:t>
      </w:r>
    </w:p>
    <w:tbl>
      <w:tblPr>
        <w:tblStyle w:val="23"/>
        <w:tblW w:w="0" w:type="auto"/>
        <w:tblInd w:w="188" w:type="dxa"/>
        <w:tblLayout w:type="fixed"/>
        <w:tblCellMar>
          <w:top w:w="0" w:type="dxa"/>
          <w:left w:w="108" w:type="dxa"/>
          <w:bottom w:w="0" w:type="dxa"/>
          <w:right w:w="108" w:type="dxa"/>
        </w:tblCellMar>
      </w:tblPr>
      <w:tblGrid>
        <w:gridCol w:w="4501"/>
        <w:gridCol w:w="4502"/>
      </w:tblGrid>
      <w:tr>
        <w:tc>
          <w:tcPr>
            <w:tcW w:w="4501" w:type="dxa"/>
            <w:tcBorders>
              <w:top w:val="nil"/>
              <w:left w:val="nil"/>
              <w:bottom w:val="nil"/>
              <w:right w:val="nil"/>
            </w:tcBorders>
          </w:tcPr>
          <w:p>
            <w:pPr>
              <w:adjustRightInd w:val="0"/>
              <w:snapToGrid w:val="0"/>
              <w:spacing w:line="560" w:lineRule="exact"/>
              <w:ind w:left="945" w:hanging="945" w:hangingChars="450"/>
              <w:rPr>
                <w:rFonts w:ascii="宋体" w:hAnsi="Times New Roman" w:eastAsia="宋体" w:cs="宋体"/>
                <w:szCs w:val="20"/>
              </w:rPr>
            </w:pPr>
            <w:r>
              <w:rPr>
                <w:rFonts w:hint="eastAsia" w:ascii="宋体" w:hAnsi="Times New Roman" w:eastAsia="宋体" w:cs="宋体"/>
                <w:szCs w:val="20"/>
              </w:rPr>
              <w:t>招标人：仪征市博润建材商贸有限公司</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招标代理：扬州市聚力项目管理有限公司</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地址：</w:t>
            </w:r>
            <w:r>
              <w:rPr>
                <w:rFonts w:hint="eastAsia" w:ascii="宋体" w:cs="宋体"/>
              </w:rPr>
              <w:t>仪征市解放东路818号</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地址：仪征市闽泰大道9号</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邮编： 211400</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邮编：211400</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联系人：</w:t>
            </w:r>
            <w:r>
              <w:rPr>
                <w:rFonts w:hint="eastAsia" w:ascii="宋体" w:cs="宋体"/>
              </w:rPr>
              <w:t>余梓浩</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联系人：王璐</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电话：</w:t>
            </w:r>
            <w:r>
              <w:rPr>
                <w:rFonts w:ascii="宋体" w:cs="宋体"/>
              </w:rPr>
              <w:t>0514-83585696</w:t>
            </w:r>
            <w:r>
              <w:rPr>
                <w:rFonts w:hint="eastAsia" w:ascii="宋体" w:hAnsi="Times New Roman" w:eastAsia="宋体" w:cs="宋体"/>
                <w:szCs w:val="20"/>
              </w:rPr>
              <w:t xml:space="preserve"> </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电话：18762779706</w:t>
            </w:r>
          </w:p>
        </w:tc>
      </w:tr>
      <w:tr>
        <w:tblPrEx>
          <w:tblCellMar>
            <w:top w:w="0" w:type="dxa"/>
            <w:left w:w="108" w:type="dxa"/>
            <w:bottom w:w="0" w:type="dxa"/>
            <w:right w:w="108" w:type="dxa"/>
          </w:tblCellMar>
        </w:tblPrEx>
        <w:tc>
          <w:tcPr>
            <w:tcW w:w="4501"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电子邮箱：/</w:t>
            </w:r>
          </w:p>
        </w:tc>
        <w:tc>
          <w:tcPr>
            <w:tcW w:w="4502" w:type="dxa"/>
            <w:tcBorders>
              <w:top w:val="nil"/>
              <w:left w:val="nil"/>
              <w:bottom w:val="nil"/>
              <w:right w:val="nil"/>
            </w:tcBorders>
          </w:tcPr>
          <w:p>
            <w:pPr>
              <w:adjustRightInd w:val="0"/>
              <w:snapToGrid w:val="0"/>
              <w:spacing w:line="560" w:lineRule="exact"/>
              <w:rPr>
                <w:rFonts w:ascii="宋体" w:hAnsi="Times New Roman" w:eastAsia="宋体" w:cs="宋体"/>
                <w:szCs w:val="20"/>
              </w:rPr>
            </w:pPr>
            <w:r>
              <w:rPr>
                <w:rFonts w:hint="eastAsia" w:ascii="宋体" w:hAnsi="Times New Roman" w:eastAsia="宋体" w:cs="宋体"/>
                <w:szCs w:val="20"/>
              </w:rPr>
              <w:t>电子邮箱：</w:t>
            </w:r>
            <w:r>
              <w:fldChar w:fldCharType="begin"/>
            </w:r>
            <w:r>
              <w:instrText xml:space="preserve"> HYPERLINK "mailto:378994086@qq.com" </w:instrText>
            </w:r>
            <w:r>
              <w:fldChar w:fldCharType="separate"/>
            </w:r>
            <w:r>
              <w:rPr>
                <w:rFonts w:hint="eastAsia" w:ascii="宋体" w:hAnsi="Times New Roman" w:eastAsia="宋体" w:cs="宋体"/>
                <w:color w:val="000000"/>
                <w:szCs w:val="21"/>
                <w:lang w:bidi="ar"/>
              </w:rPr>
              <w:t>378994086@qq.com</w:t>
            </w:r>
            <w:r>
              <w:rPr>
                <w:rFonts w:hint="eastAsia" w:ascii="宋体" w:hAnsi="Times New Roman" w:eastAsia="宋体" w:cs="宋体"/>
                <w:color w:val="000000"/>
                <w:szCs w:val="21"/>
                <w:lang w:bidi="ar"/>
              </w:rPr>
              <w:fldChar w:fldCharType="end"/>
            </w:r>
          </w:p>
        </w:tc>
      </w:tr>
    </w:tbl>
    <w:p>
      <w:pPr>
        <w:adjustRightInd w:val="0"/>
        <w:snapToGrid w:val="0"/>
        <w:spacing w:line="560" w:lineRule="exact"/>
        <w:ind w:firstLine="420" w:firstLineChars="200"/>
        <w:rPr>
          <w:rFonts w:ascii="宋体" w:hAnsi="Times New Roman" w:eastAsia="宋体" w:cs="宋体"/>
          <w:szCs w:val="21"/>
        </w:rPr>
      </w:pPr>
    </w:p>
    <w:p>
      <w:pPr>
        <w:spacing w:before="100" w:beforeAutospacing="1" w:after="100" w:afterAutospacing="1" w:line="400" w:lineRule="exact"/>
        <w:jc w:val="right"/>
        <w:rPr>
          <w:rFonts w:ascii="Calibri" w:hAnsi="Calibri" w:eastAsia="宋体" w:cs="Calibri"/>
          <w:b/>
          <w:bCs/>
          <w:szCs w:val="21"/>
        </w:rPr>
      </w:pPr>
      <w:r>
        <w:rPr>
          <w:rFonts w:hint="eastAsia" w:ascii="Calibri" w:hAnsi="Calibri" w:eastAsia="宋体" w:cs="Calibri"/>
          <w:b/>
          <w:bCs/>
          <w:szCs w:val="21"/>
        </w:rPr>
        <w:t>2025年 5 月 12 日</w:t>
      </w:r>
      <w:bookmarkEnd w:id="3"/>
      <w:bookmarkEnd w:id="4"/>
      <w:bookmarkEnd w:id="5"/>
      <w:bookmarkStart w:id="8" w:name="_Toc397975242"/>
      <w:bookmarkStart w:id="9" w:name="_Toc369077559"/>
    </w:p>
    <w:bookmarkEnd w:id="6"/>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br w:type="page"/>
      </w: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highlight w:val="lightGray"/>
        </w:rPr>
        <w:t>第二章</w:t>
      </w:r>
      <w:r>
        <w:rPr>
          <w:rFonts w:ascii="Times New Roman" w:hAnsi="Times New Roman" w:eastAsia="宋体" w:cs="Times New Roman"/>
          <w:b/>
          <w:kern w:val="44"/>
          <w:sz w:val="32"/>
          <w:szCs w:val="32"/>
        </w:rPr>
        <w:t>投标人须知</w:t>
      </w:r>
    </w:p>
    <w:p>
      <w:pPr>
        <w:spacing w:line="480" w:lineRule="auto"/>
        <w:ind w:firstLine="3463" w:firstLineChars="1150"/>
        <w:rPr>
          <w:rFonts w:ascii="Calibri" w:hAnsi="Calibri" w:eastAsia="宋体" w:cs="Times New Roman"/>
          <w:b/>
          <w:sz w:val="30"/>
          <w:szCs w:val="30"/>
        </w:rPr>
      </w:pPr>
      <w:r>
        <w:rPr>
          <w:rFonts w:ascii="Calibri" w:hAnsi="Calibri" w:eastAsia="宋体" w:cs="Times New Roman"/>
          <w:b/>
          <w:sz w:val="30"/>
          <w:szCs w:val="30"/>
        </w:rPr>
        <w:t>投标人须知前附表</w:t>
      </w:r>
      <w:bookmarkEnd w:id="8"/>
      <w:bookmarkEnd w:id="9"/>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181"/>
        <w:gridCol w:w="5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条款号</w:t>
            </w:r>
          </w:p>
        </w:tc>
        <w:tc>
          <w:tcPr>
            <w:tcW w:w="2181"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条 款 名 称</w:t>
            </w:r>
          </w:p>
        </w:tc>
        <w:tc>
          <w:tcPr>
            <w:tcW w:w="5974"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b/>
                <w:color w:val="000000"/>
                <w:szCs w:val="20"/>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招标人</w:t>
            </w:r>
          </w:p>
        </w:tc>
        <w:tc>
          <w:tcPr>
            <w:tcW w:w="5974" w:type="dxa"/>
            <w:vAlign w:val="center"/>
          </w:tcPr>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名称：</w:t>
            </w:r>
            <w:r>
              <w:rPr>
                <w:rFonts w:hint="eastAsia" w:ascii="宋体" w:hAnsi="宋体" w:eastAsia="宋体" w:cs="宋体"/>
                <w:color w:val="0000FF"/>
                <w:szCs w:val="21"/>
              </w:rPr>
              <w:t>仪征市博润建材商贸有限公司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仪征市解放东路818号</w:t>
            </w:r>
          </w:p>
          <w:p>
            <w:pPr>
              <w:adjustRightInd w:val="0"/>
              <w:snapToGrid w:val="0"/>
              <w:spacing w:line="312" w:lineRule="auto"/>
              <w:rPr>
                <w:rFonts w:ascii="宋体" w:hAnsi="宋体" w:eastAsia="宋体" w:cs="宋体"/>
                <w:color w:val="0000FF"/>
                <w:szCs w:val="21"/>
              </w:rPr>
            </w:pPr>
            <w:r>
              <w:rPr>
                <w:rFonts w:hint="eastAsia" w:ascii="宋体" w:hAnsi="宋体" w:eastAsia="宋体" w:cs="宋体"/>
                <w:szCs w:val="21"/>
              </w:rPr>
              <w:t>联系人：</w:t>
            </w:r>
            <w:r>
              <w:rPr>
                <w:rFonts w:hint="eastAsia" w:ascii="宋体" w:hAnsi="宋体" w:eastAsia="宋体" w:cs="宋体"/>
                <w:color w:val="0000FF"/>
                <w:szCs w:val="21"/>
              </w:rPr>
              <w:t>余梓浩</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ascii="宋体" w:hAnsi="宋体" w:eastAsia="宋体" w:cs="宋体"/>
                <w:color w:val="0000FF"/>
                <w:szCs w:val="21"/>
              </w:rPr>
              <w:t>0514-83585696</w:t>
            </w:r>
            <w:r>
              <w:rPr>
                <w:rFonts w:hint="eastAsia" w:ascii="宋体" w:hAnsi="宋体" w:eastAsia="宋体" w:cs="宋体"/>
                <w:color w:val="0000FF"/>
                <w:szCs w:val="21"/>
              </w:rPr>
              <w:t xml:space="preserve"> </w:t>
            </w:r>
          </w:p>
          <w:p>
            <w:pPr>
              <w:adjustRightInd w:val="0"/>
              <w:snapToGrid w:val="0"/>
              <w:spacing w:line="312" w:lineRule="auto"/>
              <w:rPr>
                <w:rFonts w:ascii="宋体" w:hAnsi="宋体" w:eastAsia="宋体" w:cs="宋体"/>
                <w:color w:val="000000"/>
                <w:szCs w:val="20"/>
              </w:rPr>
            </w:pPr>
            <w:r>
              <w:rPr>
                <w:rFonts w:hint="eastAsia" w:ascii="宋体" w:hAnsi="宋体" w:eastAsia="宋体" w:cs="宋体"/>
                <w:szCs w:val="21"/>
              </w:rPr>
              <w:t>电子邮箱：</w:t>
            </w:r>
            <w:r>
              <w:rPr>
                <w:rFonts w:hint="eastAsia" w:ascii="宋体" w:hAnsi="宋体" w:eastAsia="宋体" w:cs="宋体"/>
                <w:color w:val="0000FF"/>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招标代理机构</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名称：</w:t>
            </w:r>
            <w:r>
              <w:rPr>
                <w:rFonts w:hint="eastAsia" w:ascii="宋体" w:hAnsi="宋体" w:eastAsia="宋体" w:cs="宋体"/>
                <w:color w:val="0000FF"/>
                <w:szCs w:val="21"/>
              </w:rPr>
              <w:t>扬州市聚力项目管理有限公司</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color w:val="0000FF"/>
                <w:szCs w:val="21"/>
              </w:rPr>
              <w:t>仪征市闽泰大道9号</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color w:val="0000FF"/>
                <w:szCs w:val="21"/>
              </w:rPr>
              <w:t>王璐</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color w:val="0000FF"/>
                <w:szCs w:val="21"/>
              </w:rPr>
              <w:t>18762779706</w:t>
            </w:r>
          </w:p>
          <w:p>
            <w:pPr>
              <w:adjustRightInd w:val="0"/>
              <w:snapToGrid w:val="0"/>
              <w:spacing w:line="312" w:lineRule="auto"/>
              <w:rPr>
                <w:rFonts w:ascii="宋体" w:hAnsi="宋体" w:eastAsia="宋体" w:cs="宋体"/>
                <w:szCs w:val="21"/>
              </w:rPr>
            </w:pPr>
            <w:r>
              <w:rPr>
                <w:rFonts w:hint="eastAsia" w:ascii="宋体" w:hAnsi="宋体" w:eastAsia="宋体" w:cs="宋体"/>
                <w:szCs w:val="21"/>
              </w:rPr>
              <w:t>电子邮箱：</w:t>
            </w:r>
            <w:bookmarkStart w:id="10" w:name="EB3b532f3793ae49169b4a737311cd04ba"/>
            <w:r>
              <w:rPr>
                <w:rFonts w:hint="eastAsia" w:ascii="宋体" w:hAnsi="宋体" w:eastAsia="宋体" w:cs="宋体"/>
                <w:color w:val="0000FF"/>
                <w:szCs w:val="21"/>
              </w:rPr>
              <w:t>378994086@qq.com</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项目名称</w:t>
            </w:r>
          </w:p>
        </w:tc>
        <w:tc>
          <w:tcPr>
            <w:tcW w:w="5974" w:type="dxa"/>
            <w:vAlign w:val="center"/>
          </w:tcPr>
          <w:p>
            <w:pPr>
              <w:spacing w:line="312" w:lineRule="auto"/>
              <w:rPr>
                <w:rFonts w:ascii="宋体" w:hAnsi="宋体" w:eastAsia="宋体" w:cs="宋体"/>
                <w:szCs w:val="21"/>
              </w:rPr>
            </w:pPr>
            <w:r>
              <w:rPr>
                <w:rFonts w:hint="eastAsia" w:ascii="宋体" w:hAnsi="宋体" w:eastAsia="宋体" w:cs="宋体"/>
                <w:szCs w:val="21"/>
              </w:rPr>
              <w:t>东园路管网综合改造工程焊接钢管采购项目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资金来源</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出资比例</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资金落实情况</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招标范围</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1.3.2</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Times New Roman" w:eastAsia="宋体" w:cs="宋体"/>
                <w:color w:val="000000"/>
                <w:szCs w:val="21"/>
              </w:rPr>
              <w:t>期</w:t>
            </w:r>
          </w:p>
        </w:tc>
        <w:tc>
          <w:tcPr>
            <w:tcW w:w="5974" w:type="dxa"/>
            <w:vAlign w:val="center"/>
          </w:tcPr>
          <w:p>
            <w:pPr>
              <w:spacing w:line="312" w:lineRule="auto"/>
              <w:ind w:firstLine="210" w:firstLineChars="100"/>
              <w:rPr>
                <w:rFonts w:ascii="Times New Roman" w:hAnsi="Times New Roman" w:eastAsia="宋体" w:cs="Times New Roman"/>
                <w:szCs w:val="20"/>
              </w:rPr>
            </w:pPr>
            <w:r>
              <w:rPr>
                <w:rFonts w:hint="eastAsia" w:ascii="Times New Roman" w:hAnsi="Times New Roman" w:eastAsia="宋体" w:cs="Times New Roman"/>
                <w:szCs w:val="20"/>
              </w:rPr>
              <w:t>150日历天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1.3.3</w:t>
            </w:r>
          </w:p>
        </w:tc>
        <w:tc>
          <w:tcPr>
            <w:tcW w:w="2181" w:type="dxa"/>
            <w:vAlign w:val="center"/>
          </w:tcPr>
          <w:p>
            <w:pPr>
              <w:spacing w:line="312" w:lineRule="auto"/>
              <w:rPr>
                <w:rFonts w:ascii="宋体" w:hAnsi="宋体" w:eastAsia="宋体" w:cs="宋体"/>
                <w:color w:val="000000"/>
                <w:szCs w:val="20"/>
              </w:rPr>
            </w:pPr>
            <w:r>
              <w:rPr>
                <w:rFonts w:hint="eastAsia" w:ascii="宋体" w:hAnsi="Times New Roman" w:eastAsia="宋体" w:cs="宋体"/>
                <w:szCs w:val="21"/>
              </w:rPr>
              <w:t>供货</w:t>
            </w:r>
            <w:r>
              <w:rPr>
                <w:rFonts w:hint="eastAsia" w:ascii="宋体" w:hAnsi="宋体" w:eastAsia="宋体" w:cs="宋体"/>
                <w:color w:val="000000"/>
                <w:szCs w:val="20"/>
              </w:rPr>
              <w:t>地点</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仪征市东园路（真州路-扬子路），具体位置按招标人要求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1.3.4</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质量要求及验收标准</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符合国家验收标准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投标人资格要求</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1.4.2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是否接受联合体投标</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color w:val="000000"/>
                <w:szCs w:val="20"/>
              </w:rPr>
              <w:t>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b/>
                <w:color w:val="000000"/>
                <w:szCs w:val="20"/>
              </w:rPr>
            </w:pPr>
            <w:r>
              <w:rPr>
                <w:rFonts w:hint="eastAsia" w:ascii="宋体" w:hAnsi="宋体" w:eastAsia="宋体" w:cs="宋体"/>
                <w:color w:val="000000"/>
                <w:szCs w:val="20"/>
              </w:rPr>
              <w:t>1.9.1</w:t>
            </w:r>
          </w:p>
        </w:tc>
        <w:tc>
          <w:tcPr>
            <w:tcW w:w="2181" w:type="dxa"/>
            <w:vAlign w:val="center"/>
          </w:tcPr>
          <w:p>
            <w:pPr>
              <w:spacing w:line="312" w:lineRule="auto"/>
              <w:rPr>
                <w:rFonts w:ascii="宋体" w:hAnsi="宋体" w:eastAsia="宋体" w:cs="宋体"/>
                <w:b/>
                <w:color w:val="000000"/>
                <w:szCs w:val="20"/>
              </w:rPr>
            </w:pPr>
            <w:r>
              <w:rPr>
                <w:rFonts w:hint="eastAsia" w:ascii="宋体" w:hAnsi="宋体" w:eastAsia="宋体" w:cs="宋体"/>
                <w:color w:val="000000"/>
                <w:kern w:val="0"/>
                <w:szCs w:val="20"/>
              </w:rPr>
              <w:t>踏勘现场</w:t>
            </w:r>
          </w:p>
        </w:tc>
        <w:tc>
          <w:tcPr>
            <w:tcW w:w="5974" w:type="dxa"/>
            <w:vAlign w:val="center"/>
          </w:tcPr>
          <w:p>
            <w:pPr>
              <w:spacing w:line="312" w:lineRule="auto"/>
              <w:rPr>
                <w:rFonts w:ascii="宋体" w:hAnsi="宋体" w:eastAsia="宋体" w:cs="宋体"/>
                <w:b/>
                <w:color w:val="000000"/>
                <w:szCs w:val="20"/>
                <w:u w:val="single"/>
              </w:rPr>
            </w:pPr>
            <w:r>
              <w:rPr>
                <w:rFonts w:hint="eastAsia" w:ascii="宋体" w:hAnsi="宋体" w:eastAsia="宋体" w:cs="宋体"/>
                <w:color w:val="000000"/>
                <w:szCs w:val="20"/>
              </w:rPr>
              <w:t xml:space="preserve">招标人不组织集中踏勘现场，投标人自行踏勘现场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1.10</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投标预备会</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偏离</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color w:val="000000"/>
                <w:szCs w:val="20"/>
              </w:rPr>
              <w:t>不允许负偏离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1"/>
              </w:rPr>
            </w:pPr>
            <w:r>
              <w:rPr>
                <w:rFonts w:hint="eastAsia" w:ascii="宋体" w:hAnsi="宋体" w:eastAsia="宋体" w:cs="宋体"/>
                <w:color w:val="000000"/>
                <w:szCs w:val="20"/>
              </w:rPr>
              <w:t>2.1.1</w:t>
            </w:r>
          </w:p>
        </w:tc>
        <w:tc>
          <w:tcPr>
            <w:tcW w:w="2181" w:type="dxa"/>
            <w:vAlign w:val="center"/>
          </w:tcPr>
          <w:p>
            <w:pPr>
              <w:spacing w:line="312" w:lineRule="auto"/>
              <w:rPr>
                <w:rFonts w:ascii="宋体" w:hAnsi="宋体" w:eastAsia="宋体" w:cs="宋体"/>
                <w:color w:val="000000"/>
                <w:kern w:val="0"/>
                <w:szCs w:val="21"/>
              </w:rPr>
            </w:pPr>
            <w:r>
              <w:rPr>
                <w:rFonts w:hint="eastAsia" w:ascii="宋体" w:hAnsi="宋体" w:eastAsia="宋体" w:cs="宋体"/>
                <w:color w:val="000000"/>
                <w:kern w:val="0"/>
                <w:szCs w:val="21"/>
              </w:rPr>
              <w:t>构成招标文件的其它材料</w:t>
            </w:r>
          </w:p>
        </w:tc>
        <w:tc>
          <w:tcPr>
            <w:tcW w:w="5974" w:type="dxa"/>
            <w:vAlign w:val="center"/>
          </w:tcPr>
          <w:p>
            <w:pPr>
              <w:spacing w:line="312" w:lineRule="auto"/>
              <w:rPr>
                <w:rFonts w:ascii="宋体" w:hAnsi="宋体" w:eastAsia="宋体" w:cs="宋体"/>
                <w:color w:val="000000"/>
                <w:kern w:val="0"/>
                <w:szCs w:val="20"/>
              </w:rPr>
            </w:pPr>
            <w:r>
              <w:rPr>
                <w:rFonts w:hint="eastAsia" w:ascii="宋体" w:hAnsi="宋体" w:eastAsia="宋体" w:cs="宋体"/>
                <w:snapToGrid w:val="0"/>
                <w:szCs w:val="21"/>
              </w:rPr>
              <w:t>招标文件的澄清、修改、补充或答疑文件等内容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2.2.1</w:t>
            </w:r>
          </w:p>
        </w:tc>
        <w:tc>
          <w:tcPr>
            <w:tcW w:w="2181" w:type="dxa"/>
            <w:vAlign w:val="center"/>
          </w:tcPr>
          <w:p>
            <w:pPr>
              <w:rPr>
                <w:rFonts w:ascii="宋体" w:hAnsi="宋体" w:eastAsia="宋体" w:cs="宋体"/>
                <w:color w:val="000000"/>
                <w:kern w:val="0"/>
                <w:szCs w:val="21"/>
              </w:rPr>
            </w:pPr>
            <w:r>
              <w:rPr>
                <w:rFonts w:hint="eastAsia" w:ascii="宋体" w:hAnsi="宋体" w:eastAsia="宋体" w:cs="宋体"/>
                <w:color w:val="000000"/>
                <w:kern w:val="0"/>
                <w:szCs w:val="21"/>
              </w:rPr>
              <w:t>澄清和答疑</w:t>
            </w:r>
          </w:p>
        </w:tc>
        <w:tc>
          <w:tcPr>
            <w:tcW w:w="5974" w:type="dxa"/>
            <w:vAlign w:val="center"/>
          </w:tcPr>
          <w:p>
            <w:pPr>
              <w:rPr>
                <w:rFonts w:ascii="宋体" w:hAnsi="宋体" w:eastAsia="宋体" w:cs="宋体"/>
                <w:color w:val="0000FF"/>
                <w:szCs w:val="21"/>
                <w:u w:val="single"/>
              </w:rPr>
            </w:pPr>
            <w:r>
              <w:rPr>
                <w:rFonts w:hint="eastAsia" w:ascii="宋体" w:hAnsi="宋体" w:eastAsia="宋体" w:cs="宋体"/>
                <w:color w:val="0000FF"/>
                <w:szCs w:val="21"/>
              </w:rPr>
              <w:t xml:space="preserve">投标人要求澄清招标文件的截止时间： </w:t>
            </w:r>
            <w:r>
              <w:rPr>
                <w:rFonts w:hint="eastAsia" w:ascii="宋体" w:hAnsi="宋体" w:eastAsia="宋体" w:cs="宋体"/>
                <w:color w:val="0000FF"/>
                <w:szCs w:val="21"/>
                <w:u w:val="single"/>
              </w:rPr>
              <w:t xml:space="preserve">2025年 5 月 19 日11：00时    </w:t>
            </w:r>
          </w:p>
          <w:p>
            <w:pPr>
              <w:rPr>
                <w:rFonts w:ascii="宋体" w:hAnsi="宋体" w:eastAsia="宋体" w:cs="宋体"/>
                <w:color w:val="0000FF"/>
                <w:szCs w:val="21"/>
                <w:u w:val="single"/>
              </w:rPr>
            </w:pPr>
            <w:r>
              <w:rPr>
                <w:rFonts w:hint="eastAsia" w:ascii="宋体" w:hAnsi="宋体" w:eastAsia="宋体" w:cs="宋体"/>
                <w:color w:val="0000FF"/>
                <w:szCs w:val="21"/>
                <w:u w:val="single"/>
              </w:rPr>
              <w:t>方式：电子化交易系统中“网上提问”模块</w:t>
            </w:r>
          </w:p>
          <w:p>
            <w:pPr>
              <w:rPr>
                <w:rFonts w:ascii="宋体" w:hAnsi="宋体" w:eastAsia="宋体" w:cs="宋体"/>
                <w:color w:val="0000FF"/>
                <w:szCs w:val="21"/>
                <w:u w:val="single"/>
              </w:rPr>
            </w:pPr>
            <w:r>
              <w:rPr>
                <w:rFonts w:hint="eastAsia" w:ascii="宋体" w:hAnsi="宋体" w:eastAsia="宋体" w:cs="宋体"/>
                <w:color w:val="0000FF"/>
                <w:szCs w:val="21"/>
                <w:u w:val="single"/>
              </w:rPr>
              <w:t xml:space="preserve">招标人书面澄清的时间：2025年 5 月 19 日17:00时   </w:t>
            </w:r>
          </w:p>
          <w:p>
            <w:pPr>
              <w:spacing w:line="312" w:lineRule="auto"/>
              <w:rPr>
                <w:rFonts w:ascii="宋体" w:hAnsi="宋体" w:eastAsia="宋体" w:cs="宋体"/>
                <w:color w:val="000000"/>
                <w:szCs w:val="20"/>
              </w:rPr>
            </w:pPr>
            <w:r>
              <w:rPr>
                <w:rFonts w:hint="eastAsia" w:ascii="宋体" w:hAnsi="宋体" w:eastAsia="宋体" w:cs="宋体"/>
                <w:color w:val="000000"/>
                <w:szCs w:val="21"/>
              </w:rPr>
              <w:t>获取方式：</w:t>
            </w:r>
            <w:r>
              <w:rPr>
                <w:rFonts w:hint="eastAsia" w:ascii="宋体" w:hAnsi="宋体" w:eastAsia="宋体" w:cs="Times New Roman"/>
                <w:color w:val="000000"/>
                <w:spacing w:val="-5"/>
                <w:szCs w:val="21"/>
              </w:rPr>
              <w:t>仪征市限额以下公共资源交易平台</w:t>
            </w:r>
            <w:r>
              <w:rPr>
                <w:rFonts w:ascii="宋体" w:hAnsi="宋体" w:eastAsia="宋体" w:cs="Times New Roman"/>
                <w:color w:val="000000"/>
                <w:spacing w:val="-5"/>
                <w:szCs w:val="21"/>
              </w:rPr>
              <w:t>“答疑下载”模块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3.1.1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投标文件的组成</w:t>
            </w:r>
          </w:p>
        </w:tc>
        <w:tc>
          <w:tcPr>
            <w:tcW w:w="5974" w:type="dxa"/>
            <w:vAlign w:val="center"/>
          </w:tcPr>
          <w:p>
            <w:pPr>
              <w:spacing w:line="380" w:lineRule="exact"/>
              <w:rPr>
                <w:rFonts w:ascii="Calibri" w:hAnsi="Calibri" w:eastAsia="宋体" w:cs="Times New Roman"/>
                <w:b/>
                <w:szCs w:val="21"/>
              </w:rPr>
            </w:pPr>
            <w:r>
              <w:rPr>
                <w:rFonts w:ascii="Times New Roman" w:hAnsi="Times New Roman" w:eastAsia="宋体" w:cs="Times New Roman"/>
                <w:b/>
                <w:szCs w:val="20"/>
              </w:rPr>
              <w:t>以下资料需将原件</w:t>
            </w:r>
            <w:r>
              <w:rPr>
                <w:rFonts w:hint="eastAsia" w:ascii="宋体" w:hAnsi="宋体" w:eastAsia="宋体" w:cs="宋体"/>
                <w:b/>
                <w:color w:val="000000"/>
                <w:kern w:val="0"/>
                <w:szCs w:val="21"/>
              </w:rPr>
              <w:t>彩色</w:t>
            </w:r>
            <w:r>
              <w:rPr>
                <w:rFonts w:ascii="Times New Roman" w:hAnsi="Times New Roman" w:eastAsia="宋体" w:cs="Times New Roman"/>
                <w:b/>
                <w:szCs w:val="20"/>
              </w:rPr>
              <w:t>扫描件添加进电子投标文件，原件开标时不再进行复核</w:t>
            </w:r>
            <w:r>
              <w:rPr>
                <w:rFonts w:hint="eastAsia" w:ascii="宋体" w:hAnsi="宋体" w:eastAsia="宋体" w:cs="宋体"/>
                <w:b/>
                <w:color w:val="000000"/>
                <w:szCs w:val="21"/>
              </w:rPr>
              <w:t>：</w:t>
            </w:r>
          </w:p>
          <w:p>
            <w:pPr>
              <w:spacing w:line="380" w:lineRule="exact"/>
              <w:rPr>
                <w:rFonts w:ascii="Calibri" w:hAnsi="Calibri" w:eastAsia="宋体" w:cs="Times New Roman"/>
                <w:b/>
                <w:szCs w:val="21"/>
              </w:rPr>
            </w:pPr>
            <w:r>
              <w:rPr>
                <w:rFonts w:hint="eastAsia" w:ascii="Calibri" w:hAnsi="Calibri" w:eastAsia="宋体" w:cs="Times New Roman"/>
                <w:b/>
                <w:szCs w:val="21"/>
              </w:rPr>
              <w:t>1、资格审查文件：</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highlight w:val="white"/>
              </w:rPr>
              <w:t>（2025年2月-2025年4月）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rPr>
                <w:rFonts w:ascii="宋体" w:hAnsi="宋体" w:eastAsia="宋体" w:cs="宋体"/>
                <w:szCs w:val="21"/>
              </w:rPr>
            </w:pPr>
            <w:r>
              <w:rPr>
                <w:rFonts w:hint="eastAsia" w:ascii="宋体" w:hAnsi="宋体" w:eastAsia="宋体" w:cs="宋体"/>
                <w:szCs w:val="21"/>
              </w:rPr>
              <w:t>（9）</w:t>
            </w:r>
            <w:r>
              <w:rPr>
                <w:rFonts w:hint="eastAsia" w:ascii="宋体" w:hAnsi="Times New Roman" w:eastAsia="宋体" w:cs="宋体"/>
                <w:b/>
                <w:szCs w:val="21"/>
              </w:rPr>
              <w:t>提供 DE30、DDL220、DIB20 焊接钢管的有效期内合格的检验(检测)报告；</w:t>
            </w:r>
          </w:p>
          <w:p>
            <w:pPr>
              <w:spacing w:after="120"/>
              <w:rPr>
                <w:rFonts w:ascii="Times New Roman" w:hAnsi="Times New Roman" w:eastAsia="宋体" w:cs="Times New Roman"/>
                <w:szCs w:val="20"/>
              </w:rPr>
            </w:pPr>
            <w:r>
              <w:rPr>
                <w:rFonts w:hint="eastAsia" w:ascii="宋体" w:hAnsi="宋体" w:eastAsia="宋体" w:cs="宋体"/>
                <w:szCs w:val="21"/>
              </w:rPr>
              <w:t>（10）业绩</w:t>
            </w:r>
            <w:r>
              <w:rPr>
                <w:rFonts w:ascii="宋体" w:hAnsi="宋体" w:eastAsia="宋体" w:cs="宋体"/>
                <w:szCs w:val="21"/>
              </w:rPr>
              <w:t>证明材料（提供合同原件、发票原件、国家税务总局全国增值税发票查验平台查验截图）；</w:t>
            </w:r>
          </w:p>
          <w:p>
            <w:pPr>
              <w:spacing w:after="120"/>
              <w:rPr>
                <w:rFonts w:ascii="Times New Roman" w:hAnsi="宋体" w:eastAsia="宋体" w:cs="宋体"/>
                <w:color w:val="000000"/>
                <w:szCs w:val="21"/>
              </w:rPr>
            </w:pPr>
            <w:r>
              <w:rPr>
                <w:rFonts w:hint="eastAsia" w:ascii="Times New Roman" w:hAnsi="Times New Roman" w:eastAsia="宋体" w:cs="Times New Roman"/>
                <w:szCs w:val="20"/>
              </w:rPr>
              <w:t>（11）</w:t>
            </w:r>
            <w:r>
              <w:rPr>
                <w:rFonts w:hint="eastAsia" w:ascii="宋体" w:hAnsi="宋体" w:eastAsia="宋体" w:cs="宋体"/>
                <w:szCs w:val="21"/>
              </w:rPr>
              <w:t>真实性承诺书；</w:t>
            </w:r>
          </w:p>
          <w:p>
            <w:pPr>
              <w:spacing w:after="120"/>
              <w:rPr>
                <w:rFonts w:ascii="Times New Roman" w:hAnsi="宋体" w:eastAsia="宋体" w:cs="宋体"/>
                <w:color w:val="000000"/>
                <w:szCs w:val="21"/>
              </w:rPr>
            </w:pPr>
            <w:r>
              <w:rPr>
                <w:rFonts w:hint="eastAsia" w:ascii="Times New Roman" w:hAnsi="宋体" w:eastAsia="宋体" w:cs="宋体"/>
                <w:color w:val="000000"/>
                <w:szCs w:val="21"/>
              </w:rPr>
              <w:t>（12）</w:t>
            </w:r>
            <w:r>
              <w:rPr>
                <w:rFonts w:hint="eastAsia" w:ascii="Calibri" w:hAnsi="Calibri" w:eastAsia="宋体" w:cs="Times New Roman"/>
                <w:szCs w:val="21"/>
              </w:rPr>
              <w:t>投标人认为其他需要提供的材料</w:t>
            </w:r>
          </w:p>
          <w:p>
            <w:pPr>
              <w:spacing w:after="120"/>
              <w:rPr>
                <w:rFonts w:ascii="Times New Roman" w:hAnsi="Times New Roman" w:eastAsia="宋体" w:cs="Times New Roman"/>
                <w:szCs w:val="20"/>
              </w:rPr>
            </w:pPr>
            <w:r>
              <w:rPr>
                <w:rFonts w:hint="eastAsia" w:ascii="Calibri" w:hAnsi="Calibri" w:eastAsia="宋体" w:cs="Times New Roman"/>
                <w:b/>
                <w:szCs w:val="21"/>
              </w:rPr>
              <w:t>2、投标文件其他组成材料：</w:t>
            </w:r>
          </w:p>
          <w:p>
            <w:pPr>
              <w:spacing w:line="312" w:lineRule="auto"/>
              <w:textAlignment w:val="center"/>
              <w:rPr>
                <w:rFonts w:ascii="宋体" w:hAnsi="宋体" w:eastAsia="宋体" w:cs="宋体"/>
                <w:szCs w:val="21"/>
              </w:rPr>
            </w:pPr>
            <w:r>
              <w:rPr>
                <w:rFonts w:hint="eastAsia" w:ascii="宋体" w:hAnsi="宋体" w:eastAsia="宋体" w:cs="宋体"/>
                <w:szCs w:val="21"/>
              </w:rPr>
              <w:t>（1）投标函</w:t>
            </w:r>
          </w:p>
          <w:p>
            <w:pPr>
              <w:spacing w:line="312" w:lineRule="auto"/>
              <w:textAlignment w:val="center"/>
              <w:rPr>
                <w:rFonts w:ascii="宋体" w:hAnsi="宋体" w:eastAsia="宋体" w:cs="宋体"/>
                <w:szCs w:val="21"/>
              </w:rPr>
            </w:pPr>
            <w:r>
              <w:rPr>
                <w:rFonts w:hint="eastAsia" w:ascii="宋体" w:hAnsi="宋体" w:eastAsia="宋体" w:cs="宋体"/>
                <w:szCs w:val="21"/>
              </w:rPr>
              <w:t>（2）授权委托书</w:t>
            </w:r>
          </w:p>
          <w:p>
            <w:pPr>
              <w:spacing w:line="312" w:lineRule="auto"/>
              <w:textAlignment w:val="center"/>
              <w:rPr>
                <w:rFonts w:ascii="宋体" w:hAnsi="宋体" w:eastAsia="宋体" w:cs="宋体"/>
                <w:szCs w:val="21"/>
              </w:rPr>
            </w:pPr>
            <w:r>
              <w:rPr>
                <w:rFonts w:hint="eastAsia" w:ascii="宋体" w:hAnsi="宋体" w:eastAsia="宋体" w:cs="宋体"/>
                <w:szCs w:val="21"/>
              </w:rPr>
              <w:t>（3）投标报价明细表</w:t>
            </w:r>
          </w:p>
          <w:p>
            <w:pPr>
              <w:spacing w:line="312" w:lineRule="auto"/>
              <w:rPr>
                <w:rFonts w:ascii="宋体" w:hAnsi="宋体" w:eastAsia="宋体" w:cs="宋体"/>
                <w:b/>
                <w:color w:val="000000"/>
                <w:szCs w:val="20"/>
              </w:rPr>
            </w:pPr>
            <w:r>
              <w:rPr>
                <w:rFonts w:hint="eastAsia" w:ascii="Calibri" w:hAnsi="Calibri" w:eastAsia="宋体" w:cs="Times New Roman"/>
                <w:b/>
                <w:szCs w:val="21"/>
              </w:rPr>
              <w:t>3、其他投标人认为需要提供的资料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3.2.2</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投标报价要求</w:t>
            </w:r>
          </w:p>
        </w:tc>
        <w:tc>
          <w:tcPr>
            <w:tcW w:w="5974" w:type="dxa"/>
            <w:vAlign w:val="center"/>
          </w:tcPr>
          <w:p>
            <w:pPr>
              <w:adjustRightInd w:val="0"/>
              <w:snapToGrid w:val="0"/>
              <w:spacing w:line="312" w:lineRule="auto"/>
              <w:rPr>
                <w:rFonts w:ascii="宋体" w:hAnsi="宋体" w:eastAsia="宋体" w:cs="宋体"/>
                <w:color w:val="000000"/>
                <w:szCs w:val="20"/>
              </w:rPr>
            </w:pPr>
            <w:r>
              <w:rPr>
                <w:rFonts w:hint="eastAsia" w:ascii="宋体" w:hAnsi="宋体" w:eastAsia="宋体" w:cs="宋体"/>
                <w:color w:val="000000"/>
                <w:szCs w:val="20"/>
              </w:rPr>
              <w:t>1、投标人的投标报价不得超过公布的总价最高投标限价和各项单价最高限价，否则为无效标。</w:t>
            </w:r>
          </w:p>
          <w:p>
            <w:pPr>
              <w:autoSpaceDE w:val="0"/>
              <w:autoSpaceDN w:val="0"/>
              <w:adjustRightInd w:val="0"/>
              <w:spacing w:line="312" w:lineRule="auto"/>
              <w:jc w:val="left"/>
              <w:rPr>
                <w:rFonts w:ascii="宋体" w:hAnsi="宋体" w:eastAsia="宋体" w:cs="宋体"/>
                <w:color w:val="000000"/>
                <w:szCs w:val="20"/>
              </w:rPr>
            </w:pPr>
            <w:r>
              <w:rPr>
                <w:rFonts w:hint="eastAsia" w:ascii="宋体" w:hAnsi="宋体" w:eastAsia="Cambria Math" w:cs="宋体"/>
                <w:color w:val="000000"/>
                <w:kern w:val="0"/>
                <w:sz w:val="24"/>
                <w:szCs w:val="24"/>
              </w:rPr>
              <w:t>2</w:t>
            </w:r>
            <w:r>
              <w:rPr>
                <w:rFonts w:hint="eastAsia" w:ascii="宋体" w:hAnsi="宋体" w:eastAsia="宋体" w:cs="宋体"/>
                <w:color w:val="000000"/>
                <w:kern w:val="0"/>
                <w:sz w:val="24"/>
                <w:szCs w:val="24"/>
              </w:rPr>
              <w:t>、</w:t>
            </w:r>
            <w:r>
              <w:rPr>
                <w:rFonts w:hint="eastAsia" w:ascii="宋体" w:hAnsi="宋体" w:eastAsia="宋体" w:cs="宋体"/>
                <w:szCs w:val="21"/>
              </w:rPr>
              <w:t>投标报价包括但不限于：所有材料费、运输费、包装费、卸货费、保险费、售后服务费、管理费、税金及综合费用等。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最高投标限价</w:t>
            </w:r>
          </w:p>
        </w:tc>
        <w:tc>
          <w:tcPr>
            <w:tcW w:w="5974" w:type="dxa"/>
            <w:vAlign w:val="center"/>
          </w:tcPr>
          <w:p>
            <w:pPr>
              <w:spacing w:after="120"/>
              <w:rPr>
                <w:rFonts w:ascii="Times New Roman" w:hAnsi="Times New Roman" w:eastAsia="宋体" w:cs="Times New Roman"/>
                <w:szCs w:val="20"/>
              </w:rPr>
            </w:pPr>
            <w:r>
              <w:rPr>
                <w:rFonts w:hint="eastAsia" w:ascii="Times New Roman" w:hAnsi="Times New Roman" w:eastAsia="宋体" w:cs="Times New Roman"/>
                <w:szCs w:val="20"/>
              </w:rPr>
              <w:t>84.0221万元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3.3.1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投标有效期</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u w:val="single"/>
              </w:rPr>
              <w:t>60</w:t>
            </w:r>
            <w:r>
              <w:rPr>
                <w:rFonts w:hint="eastAsia" w:ascii="宋体" w:hAnsi="宋体" w:eastAsia="宋体" w:cs="宋体"/>
                <w:color w:val="000000"/>
                <w:szCs w:val="20"/>
                <w:u w:val="single"/>
                <w:lang w:val="zh-CN"/>
              </w:rPr>
              <w:t xml:space="preserve"> </w:t>
            </w:r>
            <w:r>
              <w:rPr>
                <w:rFonts w:hint="eastAsia" w:ascii="宋体" w:hAnsi="宋体" w:eastAsia="宋体" w:cs="宋体"/>
                <w:color w:val="000000"/>
                <w:szCs w:val="20"/>
                <w:lang w:val="zh-CN"/>
              </w:rPr>
              <w:t>日（从投标截止之日起算）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投标保证金</w:t>
            </w:r>
          </w:p>
        </w:tc>
        <w:tc>
          <w:tcPr>
            <w:tcW w:w="5974" w:type="dxa"/>
            <w:vAlign w:val="center"/>
          </w:tcPr>
          <w:p>
            <w:pPr>
              <w:spacing w:line="312" w:lineRule="auto"/>
              <w:rPr>
                <w:rFonts w:ascii="宋体" w:hAnsi="宋体" w:eastAsia="宋体" w:cs="宋体"/>
                <w:szCs w:val="20"/>
              </w:rPr>
            </w:pPr>
            <w:r>
              <w:rPr>
                <w:rFonts w:hint="eastAsia" w:ascii="宋体" w:hAnsi="宋体" w:eastAsia="宋体" w:cs="宋体"/>
                <w:szCs w:val="20"/>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3.4.3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szCs w:val="21"/>
                <w:highlight w:val="white"/>
              </w:rPr>
              <w:t>投标保证金退还</w:t>
            </w:r>
          </w:p>
        </w:tc>
        <w:tc>
          <w:tcPr>
            <w:tcW w:w="5974" w:type="dxa"/>
            <w:vAlign w:val="center"/>
          </w:tcPr>
          <w:p>
            <w:pPr>
              <w:rPr>
                <w:rFonts w:ascii="宋体" w:hAnsi="宋体" w:eastAsia="宋体" w:cs="宋体"/>
                <w:szCs w:val="21"/>
              </w:rPr>
            </w:pPr>
            <w:r>
              <w:rPr>
                <w:rFonts w:hint="eastAsia" w:ascii="宋体" w:hAnsi="宋体" w:eastAsia="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3.6</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是否允许递交备选投标方案</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4.2.1</w:t>
            </w:r>
          </w:p>
        </w:tc>
        <w:tc>
          <w:tcPr>
            <w:tcW w:w="2181" w:type="dxa"/>
            <w:vAlign w:val="center"/>
          </w:tcPr>
          <w:p>
            <w:pPr>
              <w:spacing w:line="312" w:lineRule="auto"/>
              <w:rPr>
                <w:rFonts w:ascii="宋体" w:hAnsi="宋体" w:eastAsia="宋体" w:cs="宋体"/>
                <w:szCs w:val="20"/>
              </w:rPr>
            </w:pPr>
            <w:r>
              <w:rPr>
                <w:rFonts w:hint="eastAsia" w:ascii="宋体" w:hAnsi="宋体" w:eastAsia="宋体" w:cs="宋体"/>
                <w:szCs w:val="20"/>
              </w:rPr>
              <w:t>投标文件递交截止时间</w:t>
            </w:r>
          </w:p>
        </w:tc>
        <w:tc>
          <w:tcPr>
            <w:tcW w:w="5974" w:type="dxa"/>
            <w:vAlign w:val="center"/>
          </w:tcPr>
          <w:p>
            <w:pPr>
              <w:spacing w:line="312" w:lineRule="auto"/>
              <w:jc w:val="left"/>
              <w:rPr>
                <w:rFonts w:ascii="宋体" w:hAnsi="宋体" w:eastAsia="宋体" w:cs="宋体"/>
                <w:color w:val="000000"/>
                <w:szCs w:val="20"/>
              </w:rPr>
            </w:pPr>
            <w:r>
              <w:rPr>
                <w:rFonts w:hint="eastAsia" w:ascii="宋体" w:hAnsi="宋体" w:eastAsia="宋体" w:cs="宋体"/>
                <w:color w:val="000000"/>
                <w:szCs w:val="20"/>
              </w:rPr>
              <w:t>投标截止时间：</w:t>
            </w:r>
            <w:r>
              <w:rPr>
                <w:rFonts w:hint="eastAsia" w:ascii="宋体" w:hAnsi="宋体" w:eastAsia="宋体" w:cs="宋体"/>
                <w:b/>
                <w:color w:val="000000"/>
                <w:szCs w:val="20"/>
                <w:u w:val="single"/>
              </w:rPr>
              <w:t xml:space="preserve"> 2025</w:t>
            </w:r>
            <w:r>
              <w:rPr>
                <w:rFonts w:hint="eastAsia" w:ascii="宋体" w:hAnsi="宋体" w:eastAsia="宋体" w:cs="宋体"/>
                <w:b/>
                <w:color w:val="000000"/>
                <w:szCs w:val="20"/>
              </w:rPr>
              <w:t>年</w:t>
            </w:r>
            <w:r>
              <w:rPr>
                <w:rFonts w:hint="eastAsia" w:ascii="宋体" w:hAnsi="宋体" w:eastAsia="宋体" w:cs="宋体"/>
                <w:b/>
                <w:color w:val="000000"/>
                <w:szCs w:val="20"/>
                <w:u w:val="single"/>
              </w:rPr>
              <w:t xml:space="preserve"> 5  </w:t>
            </w:r>
            <w:r>
              <w:rPr>
                <w:rFonts w:hint="eastAsia" w:ascii="宋体" w:hAnsi="宋体" w:eastAsia="宋体" w:cs="宋体"/>
                <w:b/>
                <w:color w:val="000000"/>
                <w:szCs w:val="20"/>
              </w:rPr>
              <w:t>月</w:t>
            </w:r>
            <w:r>
              <w:rPr>
                <w:rFonts w:hint="eastAsia" w:ascii="宋体" w:hAnsi="宋体" w:eastAsia="宋体" w:cs="宋体"/>
                <w:b/>
                <w:color w:val="000000"/>
                <w:szCs w:val="20"/>
                <w:u w:val="single"/>
              </w:rPr>
              <w:t xml:space="preserve"> 23  </w:t>
            </w:r>
            <w:r>
              <w:rPr>
                <w:rFonts w:hint="eastAsia" w:ascii="宋体" w:hAnsi="宋体" w:eastAsia="宋体" w:cs="宋体"/>
                <w:b/>
                <w:color w:val="000000"/>
                <w:szCs w:val="20"/>
              </w:rPr>
              <w:t>日</w:t>
            </w:r>
            <w:r>
              <w:rPr>
                <w:rFonts w:hint="eastAsia" w:ascii="宋体" w:hAnsi="宋体" w:eastAsia="宋体" w:cs="宋体"/>
                <w:b/>
                <w:color w:val="000000"/>
                <w:szCs w:val="20"/>
                <w:u w:val="single"/>
              </w:rPr>
              <w:t xml:space="preserve">09 </w:t>
            </w:r>
            <w:r>
              <w:rPr>
                <w:rFonts w:hint="eastAsia" w:ascii="宋体" w:hAnsi="宋体" w:eastAsia="宋体" w:cs="宋体"/>
                <w:b/>
                <w:color w:val="000000"/>
                <w:szCs w:val="20"/>
              </w:rPr>
              <w:t>时</w:t>
            </w:r>
            <w:r>
              <w:rPr>
                <w:rFonts w:hint="eastAsia" w:ascii="宋体" w:hAnsi="宋体" w:eastAsia="宋体" w:cs="宋体"/>
                <w:b/>
                <w:color w:val="000000"/>
                <w:szCs w:val="20"/>
                <w:u w:val="single"/>
              </w:rPr>
              <w:t xml:space="preserve"> 00  </w:t>
            </w:r>
            <w:r>
              <w:rPr>
                <w:rFonts w:hint="eastAsia" w:ascii="宋体" w:hAnsi="宋体" w:eastAsia="宋体" w:cs="宋体"/>
                <w:b/>
                <w:color w:val="000000"/>
                <w:szCs w:val="20"/>
              </w:rPr>
              <w:t>分</w:t>
            </w:r>
          </w:p>
          <w:p>
            <w:pPr>
              <w:spacing w:line="312" w:lineRule="auto"/>
              <w:jc w:val="left"/>
              <w:rPr>
                <w:rFonts w:ascii="宋体" w:hAnsi="宋体" w:eastAsia="宋体" w:cs="宋体"/>
                <w:color w:val="000000"/>
                <w:szCs w:val="20"/>
              </w:rPr>
            </w:pPr>
            <w:r>
              <w:rPr>
                <w:rFonts w:hint="eastAsia" w:ascii="宋体" w:hAnsi="宋体" w:eastAsia="宋体" w:cs="宋体"/>
                <w:kern w:val="0"/>
                <w:szCs w:val="21"/>
              </w:rPr>
              <w:t>通过电子招投标交易平台系统上传电子投标文件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4.2.3</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是否退还投标文件</w:t>
            </w:r>
          </w:p>
        </w:tc>
        <w:tc>
          <w:tcPr>
            <w:tcW w:w="5974" w:type="dxa"/>
            <w:vAlign w:val="center"/>
          </w:tcPr>
          <w:p>
            <w:pPr>
              <w:spacing w:line="312" w:lineRule="auto"/>
              <w:rPr>
                <w:rFonts w:ascii="宋体" w:hAnsi="宋体" w:eastAsia="宋体" w:cs="宋体"/>
                <w:color w:val="000000"/>
                <w:szCs w:val="20"/>
                <w:u w:val="single"/>
              </w:rPr>
            </w:pPr>
            <w:r>
              <w:rPr>
                <w:rFonts w:hint="eastAsia" w:ascii="宋体" w:hAnsi="宋体" w:eastAsia="宋体" w:cs="宋体"/>
                <w:color w:val="000000"/>
                <w:szCs w:val="20"/>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5.1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开标时间和地点</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highlight w:val="white"/>
              </w:rPr>
              <w:t>开标时间：同投标截止时间</w:t>
            </w:r>
          </w:p>
          <w:p>
            <w:pPr>
              <w:spacing w:line="312" w:lineRule="auto"/>
              <w:jc w:val="left"/>
              <w:rPr>
                <w:rFonts w:ascii="宋体" w:hAnsi="宋体" w:eastAsia="宋体" w:cs="宋体"/>
                <w:color w:val="000000"/>
                <w:szCs w:val="20"/>
                <w:u w:val="single"/>
              </w:rPr>
            </w:pPr>
            <w:r>
              <w:rPr>
                <w:rFonts w:hint="eastAsia" w:ascii="宋体" w:hAnsi="宋体" w:eastAsia="宋体" w:cs="宋体"/>
                <w:szCs w:val="21"/>
                <w:highlight w:val="white"/>
              </w:rPr>
              <w:t xml:space="preserve">开标地点：扬州市聚力项目管理有限公司三楼开标室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8.1</w:t>
            </w:r>
          </w:p>
        </w:tc>
        <w:tc>
          <w:tcPr>
            <w:tcW w:w="2181" w:type="dxa"/>
            <w:vAlign w:val="center"/>
          </w:tcPr>
          <w:p>
            <w:pPr>
              <w:spacing w:line="312" w:lineRule="auto"/>
              <w:rPr>
                <w:rFonts w:ascii="宋体" w:hAnsi="宋体" w:eastAsia="宋体" w:cs="宋体"/>
                <w:color w:val="000000"/>
                <w:szCs w:val="20"/>
              </w:rPr>
            </w:pPr>
            <w:r>
              <w:rPr>
                <w:rFonts w:hint="eastAsia" w:ascii="宋体" w:hAnsi="宋体" w:eastAsia="宋体" w:cs="宋体"/>
                <w:color w:val="000000"/>
                <w:szCs w:val="20"/>
              </w:rPr>
              <w:t>是否授权评标委员会确定中标人</w:t>
            </w:r>
          </w:p>
        </w:tc>
        <w:tc>
          <w:tcPr>
            <w:tcW w:w="5974" w:type="dxa"/>
            <w:vAlign w:val="center"/>
          </w:tcPr>
          <w:p>
            <w:pPr>
              <w:spacing w:line="312" w:lineRule="auto"/>
              <w:rPr>
                <w:rFonts w:ascii="宋体" w:hAnsi="宋体" w:eastAsia="宋体" w:cs="宋体"/>
                <w:color w:val="000000"/>
                <w:szCs w:val="20"/>
              </w:rPr>
            </w:pPr>
            <w:r>
              <w:rPr>
                <w:rFonts w:hint="eastAsia" w:ascii="宋体" w:hAnsi="宋体" w:eastAsia="宋体" w:cs="宋体"/>
                <w:szCs w:val="21"/>
              </w:rPr>
              <w:t>□</w:t>
            </w:r>
            <w:r>
              <w:rPr>
                <w:rFonts w:hint="eastAsia" w:ascii="宋体" w:hAnsi="宋体" w:eastAsia="宋体" w:cs="宋体"/>
                <w:color w:val="000000"/>
                <w:szCs w:val="20"/>
              </w:rPr>
              <w:t>是</w:t>
            </w:r>
          </w:p>
          <w:p>
            <w:pPr>
              <w:spacing w:line="312" w:lineRule="auto"/>
              <w:rPr>
                <w:rFonts w:ascii="宋体" w:hAnsi="宋体" w:eastAsia="宋体" w:cs="宋体"/>
                <w:color w:val="000000"/>
                <w:szCs w:val="20"/>
                <w:u w:val="single"/>
              </w:rPr>
            </w:pPr>
            <w:r>
              <w:rPr>
                <w:rFonts w:hint="eastAsia" w:ascii="宋体" w:hAnsi="宋体" w:eastAsia="宋体" w:cs="宋体"/>
                <w:color w:val="000000"/>
                <w:kern w:val="0"/>
                <w:szCs w:val="20"/>
              </w:rPr>
              <w:sym w:font="Wingdings 2" w:char="0052"/>
            </w:r>
            <w:r>
              <w:rPr>
                <w:rFonts w:hint="eastAsia" w:ascii="宋体" w:hAnsi="宋体" w:eastAsia="宋体" w:cs="宋体"/>
                <w:color w:val="000000"/>
                <w:kern w:val="0"/>
                <w:szCs w:val="20"/>
              </w:rPr>
              <w:t xml:space="preserve"> </w:t>
            </w:r>
            <w:r>
              <w:rPr>
                <w:rFonts w:hint="eastAsia" w:ascii="宋体" w:hAnsi="宋体" w:eastAsia="宋体" w:cs="宋体"/>
                <w:color w:val="000000"/>
                <w:szCs w:val="20"/>
              </w:rPr>
              <w:t>否，推荐3名中标候选人名单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8.3</w:t>
            </w:r>
          </w:p>
        </w:tc>
        <w:tc>
          <w:tcPr>
            <w:tcW w:w="2181" w:type="dxa"/>
            <w:vAlign w:val="center"/>
          </w:tcPr>
          <w:p>
            <w:pPr>
              <w:spacing w:line="312" w:lineRule="auto"/>
              <w:ind w:firstLine="210" w:firstLineChars="100"/>
              <w:jc w:val="left"/>
              <w:rPr>
                <w:rFonts w:ascii="宋体" w:hAnsi="宋体" w:eastAsia="宋体" w:cs="宋体"/>
                <w:color w:val="000000"/>
                <w:szCs w:val="20"/>
              </w:rPr>
            </w:pPr>
            <w:r>
              <w:rPr>
                <w:rFonts w:hint="eastAsia" w:ascii="宋体" w:hAnsi="宋体" w:eastAsia="宋体" w:cs="宋体"/>
                <w:szCs w:val="21"/>
              </w:rPr>
              <w:t>履约保证金</w:t>
            </w:r>
          </w:p>
        </w:tc>
        <w:tc>
          <w:tcPr>
            <w:tcW w:w="5974" w:type="dxa"/>
            <w:vAlign w:val="center"/>
          </w:tcPr>
          <w:p>
            <w:pPr>
              <w:adjustRightInd w:val="0"/>
              <w:snapToGrid w:val="0"/>
              <w:spacing w:line="312" w:lineRule="auto"/>
              <w:rPr>
                <w:rFonts w:ascii="宋体" w:hAnsi="宋体" w:eastAsia="宋体" w:cs="宋体"/>
                <w:szCs w:val="21"/>
              </w:rPr>
            </w:pPr>
            <w:r>
              <w:rPr>
                <w:rFonts w:hint="eastAsia" w:ascii="宋体" w:hAnsi="宋体" w:eastAsia="宋体" w:cs="宋体"/>
                <w:szCs w:val="21"/>
              </w:rPr>
              <w:t>□是  履约保证金的形式：</w:t>
            </w:r>
            <w:r>
              <w:rPr>
                <w:rFonts w:hint="eastAsia" w:ascii="宋体" w:hAnsi="宋体" w:eastAsia="宋体" w:cs="宋体"/>
                <w:szCs w:val="21"/>
                <w:u w:val="single"/>
              </w:rPr>
              <w:t>银行保函或转账</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履约保证金的金额：</w:t>
            </w:r>
            <w:r>
              <w:rPr>
                <w:rFonts w:hint="eastAsia" w:ascii="宋体" w:hAnsi="宋体" w:eastAsia="宋体" w:cs="宋体"/>
                <w:szCs w:val="21"/>
                <w:u w:val="single"/>
              </w:rPr>
              <w:t>按中标价的10%</w:t>
            </w:r>
            <w:r>
              <w:rPr>
                <w:rFonts w:hint="eastAsia" w:ascii="宋体" w:hAnsi="宋体" w:eastAsia="宋体" w:cs="宋体"/>
                <w:szCs w:val="21"/>
              </w:rPr>
              <w:t>,投标人在收到中标通知书后，须在</w:t>
            </w:r>
            <w:r>
              <w:rPr>
                <w:rFonts w:hint="eastAsia" w:ascii="宋体" w:hAnsi="宋体" w:eastAsia="宋体" w:cs="宋体"/>
                <w:szCs w:val="21"/>
                <w:u w:val="single"/>
              </w:rPr>
              <w:t>7</w:t>
            </w:r>
            <w:r>
              <w:rPr>
                <w:rFonts w:hint="eastAsia" w:ascii="宋体" w:hAnsi="宋体" w:eastAsia="宋体" w:cs="宋体"/>
                <w:szCs w:val="21"/>
              </w:rPr>
              <w:t>日内向招标人足额提交履约保证金，否则招标人可以取消其中标资格，招标人同时向中标人提供等额的支付担保。</w:t>
            </w:r>
          </w:p>
          <w:p>
            <w:pPr>
              <w:spacing w:after="120"/>
              <w:rPr>
                <w:rFonts w:ascii="Times New Roman" w:hAnsi="Times New Roman" w:eastAsia="宋体" w:cs="Times New Roman"/>
                <w:szCs w:val="20"/>
              </w:rPr>
            </w:pPr>
            <w:r>
              <w:rPr>
                <w:rFonts w:hint="eastAsia" w:ascii="宋体" w:hAnsi="宋体" w:eastAsia="宋体" w:cs="宋体"/>
                <w:color w:val="000000"/>
                <w:kern w:val="0"/>
                <w:szCs w:val="20"/>
              </w:rPr>
              <w:sym w:font="Wingdings 2" w:char="0052"/>
            </w:r>
            <w:r>
              <w:rPr>
                <w:rFonts w:hint="eastAsia" w:ascii="宋体" w:hAnsi="宋体" w:eastAsia="宋体" w:cs="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w:t>
            </w:r>
          </w:p>
        </w:tc>
        <w:tc>
          <w:tcPr>
            <w:tcW w:w="8155" w:type="dxa"/>
            <w:gridSpan w:val="2"/>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10.1</w:t>
            </w:r>
          </w:p>
        </w:tc>
        <w:tc>
          <w:tcPr>
            <w:tcW w:w="2181" w:type="dxa"/>
            <w:vAlign w:val="center"/>
          </w:tcPr>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参加开标会的</w:t>
            </w:r>
          </w:p>
          <w:p>
            <w:pPr>
              <w:snapToGrid w:val="0"/>
              <w:spacing w:line="312" w:lineRule="auto"/>
              <w:jc w:val="center"/>
              <w:rPr>
                <w:rFonts w:ascii="宋体" w:hAnsi="宋体" w:eastAsia="宋体" w:cs="宋体"/>
                <w:snapToGrid w:val="0"/>
                <w:szCs w:val="21"/>
              </w:rPr>
            </w:pPr>
            <w:r>
              <w:rPr>
                <w:rFonts w:hint="eastAsia" w:ascii="宋体" w:hAnsi="宋体" w:eastAsia="宋体" w:cs="宋体"/>
                <w:snapToGrid w:val="0"/>
                <w:szCs w:val="21"/>
              </w:rPr>
              <w:t>投标人代表</w:t>
            </w:r>
          </w:p>
        </w:tc>
        <w:tc>
          <w:tcPr>
            <w:tcW w:w="5974"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sym w:font="Wingdings 2" w:char="0052"/>
            </w:r>
            <w:r>
              <w:rPr>
                <w:rFonts w:hint="eastAsia" w:ascii="宋体" w:hAnsi="宋体" w:eastAsia="宋体" w:cs="宋体"/>
                <w:kern w:val="0"/>
                <w:szCs w:val="21"/>
              </w:rPr>
              <w:t>本项目采用不见面开标：</w:t>
            </w:r>
            <w:r>
              <w:rPr>
                <w:rFonts w:ascii="Times New Roman" w:hAnsi="Times New Roman" w:eastAsia="宋体" w:cs="Times New Roman"/>
                <w:szCs w:val="20"/>
              </w:rPr>
              <w:t>投标单位不派人员参加本</w:t>
            </w:r>
            <w:r>
              <w:rPr>
                <w:rFonts w:hint="eastAsia" w:ascii="Times New Roman" w:hAnsi="Times New Roman" w:eastAsia="宋体" w:cs="Times New Roman"/>
                <w:szCs w:val="20"/>
              </w:rPr>
              <w:t>项目</w:t>
            </w:r>
            <w:r>
              <w:rPr>
                <w:rFonts w:ascii="Times New Roman" w:hAnsi="Times New Roman" w:eastAsia="宋体" w:cs="Times New Roman"/>
                <w:szCs w:val="20"/>
              </w:rPr>
              <w:t>开标活动，应当在开评标系统完成公布投标人名单时间后，在招标文件规定的时间内完成投标文件解密工作。</w:t>
            </w:r>
            <w:r>
              <w:rPr>
                <w:rFonts w:hint="eastAsia" w:ascii="宋体" w:hAnsi="宋体" w:eastAsia="宋体" w:cs="宋体"/>
                <w:kern w:val="0"/>
                <w:szCs w:val="21"/>
              </w:rPr>
              <w:t xml:space="preserve">未在规定时间内解密投标文件的，将被视为放弃投标。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10.2</w:t>
            </w:r>
          </w:p>
        </w:tc>
        <w:tc>
          <w:tcPr>
            <w:tcW w:w="2181" w:type="dxa"/>
            <w:vAlign w:val="center"/>
          </w:tcPr>
          <w:p>
            <w:pPr>
              <w:adjustRightInd w:val="0"/>
              <w:snapToGrid w:val="0"/>
              <w:spacing w:line="312" w:lineRule="auto"/>
              <w:jc w:val="center"/>
              <w:rPr>
                <w:rFonts w:ascii="宋体" w:hAnsi="宋体" w:eastAsia="宋体" w:cs="宋体"/>
                <w:szCs w:val="21"/>
              </w:rPr>
            </w:pPr>
            <w:r>
              <w:rPr>
                <w:rFonts w:hint="eastAsia" w:ascii="宋体" w:hAnsi="宋体" w:eastAsia="宋体" w:cs="宋体"/>
                <w:szCs w:val="21"/>
              </w:rPr>
              <w:t>解密时间</w:t>
            </w:r>
          </w:p>
        </w:tc>
        <w:tc>
          <w:tcPr>
            <w:tcW w:w="5974" w:type="dxa"/>
            <w:vAlign w:val="center"/>
          </w:tcPr>
          <w:p>
            <w:pPr>
              <w:snapToGrid w:val="0"/>
              <w:spacing w:line="312" w:lineRule="auto"/>
              <w:jc w:val="left"/>
              <w:rPr>
                <w:rFonts w:ascii="宋体" w:hAnsi="宋体" w:eastAsia="宋体" w:cs="宋体"/>
                <w:szCs w:val="21"/>
              </w:rPr>
            </w:pPr>
            <w:r>
              <w:rPr>
                <w:rFonts w:hint="eastAsia" w:ascii="宋体" w:hAnsi="宋体" w:eastAsia="宋体" w:cs="宋体"/>
                <w:color w:val="000000"/>
                <w:szCs w:val="21"/>
              </w:rPr>
              <w:t>远程解密的：</w:t>
            </w:r>
            <w:r>
              <w:rPr>
                <w:rFonts w:hint="eastAsia" w:ascii="Times New Roman" w:hAnsi="Times New Roman" w:eastAsia="宋体" w:cs="Times New Roman"/>
                <w:color w:val="000000"/>
                <w:szCs w:val="21"/>
                <w:u w:val="single"/>
              </w:rPr>
              <w:t>以现场系统完成公布投标人名单时间起，</w:t>
            </w:r>
            <w:r>
              <w:rPr>
                <w:rFonts w:ascii="Times New Roman" w:hAnsi="Times New Roman" w:eastAsia="宋体" w:cs="Times New Roman"/>
                <w:color w:val="000000"/>
                <w:szCs w:val="21"/>
                <w:u w:val="single"/>
              </w:rPr>
              <w:t xml:space="preserve"> 30</w:t>
            </w:r>
            <w:r>
              <w:rPr>
                <w:rFonts w:hint="eastAsia" w:ascii="Times New Roman" w:hAnsi="Times New Roman" w:eastAsia="宋体" w:cs="Times New Roman"/>
                <w:color w:val="000000"/>
                <w:szCs w:val="21"/>
                <w:u w:val="single"/>
              </w:rPr>
              <w:t>分钟以内需成功解密。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10.3</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开标程序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（1）宣布开标纪律；</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（2）通过电子交易系统公布在投标截止时间前递交投标文件的投标人名称；</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（3）宣布开标人、唱标人、记录人、监标人等有关人员姓名；</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（4）如需抽取相应数值进行基准价计算的，按照招标文件的规定当众随机抽取（如有）；</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（5）通过电子交易系统现场开标，当众将电子文件进行数据导入、解密，公布投标人名称、投标保证金递交情况、投标报价、质量目标（如有）、供货期（如有）及其他内容，并予以记录；</w:t>
            </w:r>
          </w:p>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（6）招标人代表、监标人、记录人等有关人员在开标记录上签字确认；</w:t>
            </w:r>
          </w:p>
          <w:p>
            <w:pPr>
              <w:spacing w:line="312" w:lineRule="auto"/>
              <w:rPr>
                <w:rFonts w:ascii="宋体" w:hAnsi="宋体" w:eastAsia="宋体" w:cs="宋体"/>
                <w:szCs w:val="21"/>
              </w:rPr>
            </w:pPr>
            <w:r>
              <w:rPr>
                <w:rFonts w:hint="eastAsia" w:ascii="Times New Roman" w:hAnsi="Times New Roman" w:eastAsia="宋体" w:cs="Times New Roman"/>
                <w:szCs w:val="20"/>
              </w:rPr>
              <w:t>（7）开标会议结束。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10.4</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kern w:val="0"/>
                <w:szCs w:val="21"/>
              </w:rPr>
              <w:t>付款方式</w:t>
            </w:r>
          </w:p>
        </w:tc>
        <w:tc>
          <w:tcPr>
            <w:tcW w:w="5974" w:type="dxa"/>
          </w:tcPr>
          <w:p>
            <w:pPr>
              <w:spacing w:line="312" w:lineRule="auto"/>
              <w:rPr>
                <w:rFonts w:ascii="Times New Roman" w:hAnsi="Times New Roman" w:eastAsia="宋体" w:cs="Times New Roman"/>
                <w:szCs w:val="20"/>
              </w:rPr>
            </w:pPr>
            <w:r>
              <w:rPr>
                <w:rFonts w:hint="eastAsia" w:ascii="Times New Roman" w:hAnsi="Times New Roman" w:eastAsia="宋体" w:cs="Times New Roman"/>
                <w:szCs w:val="20"/>
              </w:rPr>
              <w:t>（1）工程完工验收合格后一个月内付货款97%，剩余货款3%作质保金，待质保期到后一次性支付，不计利息。以银行承兑汇票或银行电汇方式支付货款。</w:t>
            </w:r>
          </w:p>
          <w:p>
            <w:pPr>
              <w:spacing w:after="120"/>
              <w:rPr>
                <w:rFonts w:ascii="Times New Roman" w:hAnsi="Times New Roman" w:eastAsia="宋体" w:cs="Times New Roman"/>
                <w:szCs w:val="20"/>
              </w:rPr>
            </w:pPr>
            <w:r>
              <w:rPr>
                <w:rFonts w:hint="eastAsia" w:ascii="Times New Roman" w:hAnsi="Times New Roman" w:eastAsia="宋体" w:cs="Times New Roman"/>
                <w:szCs w:val="20"/>
              </w:rPr>
              <w:t>（2）货款结算</w:t>
            </w:r>
            <w:r>
              <w:rPr>
                <w:rFonts w:hint="eastAsia" w:ascii="宋体" w:hAnsi="宋体" w:eastAsia="宋体" w:cs="宋体"/>
                <w:szCs w:val="21"/>
              </w:rPr>
              <w:t>价=实际供货的数量×中标综合单价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10.5</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投标电子化要求</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1、购买招标文件前，投标单位应登录“扬州市公共资源交易中心仪征分中心”网站：http://ggzyjyzx.yangzhou.gov.cn/yzfzx/，点击“限额以下公共资源交易平台”链接，点击“投标人”登录模块进入“新点电子交易平台”，自行维护本单位的相关资料，并完善好单位数据库。（或者登录“仪征市限额以下公共资源交易平台”网站：</w:t>
            </w:r>
            <w:r>
              <w:fldChar w:fldCharType="begin"/>
            </w:r>
            <w:r>
              <w:instrText xml:space="preserve"> HYPERLINK "http://yizheng.etrading.cn/" </w:instrText>
            </w:r>
            <w:r>
              <w:fldChar w:fldCharType="separate"/>
            </w:r>
            <w:r>
              <w:rPr>
                <w:rFonts w:ascii="宋体" w:hAnsi="宋体" w:eastAsia="宋体" w:cs="宋体"/>
                <w:szCs w:val="21"/>
              </w:rPr>
              <w:t>http://yizheng.etrading.cn/</w:t>
            </w:r>
            <w:r>
              <w:rPr>
                <w:rFonts w:ascii="宋体" w:hAnsi="宋体" w:eastAsia="宋体" w:cs="宋体"/>
                <w:szCs w:val="21"/>
              </w:rPr>
              <w:fldChar w:fldCharType="end"/>
            </w:r>
            <w:r>
              <w:rPr>
                <w:rFonts w:hint="eastAsia" w:ascii="宋体" w:hAnsi="宋体" w:eastAsia="宋体" w:cs="宋体"/>
                <w:szCs w:val="21"/>
              </w:rPr>
              <w:t>，点击“会员登录”模块进入“新点电子交易平台”，自行维护本单位的相关资料，并完善好单位数据库）。如因信息缺失、失效、虚假等原因产生不良后果，责任由投标单位自行承担。未在该平台注册入库的单位可自行注册维护相关信息，注册时用户名请使用单位全称。</w:t>
            </w:r>
            <w:r>
              <w:rPr>
                <w:rFonts w:ascii="宋体" w:hAnsi="宋体" w:eastAsia="宋体" w:cs="宋体"/>
                <w:szCs w:val="21"/>
              </w:rPr>
              <w:t>注册指南可到仪征市限额以下公共资源交易平台</w:t>
            </w:r>
            <w:r>
              <w:rPr>
                <w:rFonts w:ascii="宋体" w:hAnsi="宋体" w:eastAsia="宋体" w:cs="宋体"/>
                <w:szCs w:val="21"/>
              </w:rPr>
              <w:drawing>
                <wp:inline distT="0" distB="0" distL="0" distR="0">
                  <wp:extent cx="190500" cy="142875"/>
                  <wp:effectExtent l="0" t="0" r="0" b="9525"/>
                  <wp:docPr id="7" name="图片 7" descr="说明: %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W@GJ$ACOF(TYDYECOKVDY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szCs w:val="21"/>
              </w:rPr>
              <w:t>http://yizheng.etrading.cn/，点击“会员登录”端口-“用户登录”-“注册指南”自行下载；</w:t>
            </w:r>
          </w:p>
          <w:p>
            <w:pPr>
              <w:adjustRightInd w:val="0"/>
              <w:snapToGrid w:val="0"/>
              <w:rPr>
                <w:rFonts w:ascii="宋体" w:hAnsi="宋体" w:eastAsia="宋体" w:cs="宋体"/>
                <w:szCs w:val="21"/>
              </w:rPr>
            </w:pPr>
            <w:r>
              <w:rPr>
                <w:rFonts w:hint="eastAsia" w:ascii="宋体" w:hAnsi="宋体" w:eastAsia="宋体" w:cs="宋体"/>
                <w:szCs w:val="21"/>
              </w:rPr>
              <w:t>2、购买招标文件前，投标单位必须办理CA证书和电子签章，使用CA证书登录“新点电子交易平台”对本单位数据库进行维护，并通过“仪征市限额以下公共资源交易系统”完成招标文件下载、网上提问，答疑澄清、招标控制价文件下载，电子标书制作、上传，网上投标等各环节电子化招标投标的操作。“仪征市限额以下公共资源交易平台”投标人操作指南可到http://yizheng.etrading.cn/的【办事指南】的“办事服务”里下载；（办理CA证书和电子签章，联系电话：0514-82087129，地址：扬州市文昌东路9号广陵新城市民中心1号楼5楼受理台（5楼电梯附近））</w:t>
            </w:r>
          </w:p>
          <w:p>
            <w:pPr>
              <w:adjustRightInd w:val="0"/>
              <w:snapToGrid w:val="0"/>
              <w:rPr>
                <w:rFonts w:ascii="宋体" w:hAnsi="宋体" w:eastAsia="宋体" w:cs="宋体"/>
                <w:szCs w:val="21"/>
              </w:rPr>
            </w:pPr>
            <w:r>
              <w:rPr>
                <w:rFonts w:hint="eastAsia" w:ascii="宋体" w:hAnsi="宋体" w:eastAsia="宋体" w:cs="宋体"/>
                <w:szCs w:val="21"/>
              </w:rPr>
              <w:t>3、投标人在投标截止时间前，应随时查阅“仪征市限额以下公共资源交易平台”</w:t>
            </w:r>
            <w:r>
              <w:rPr>
                <w:rFonts w:ascii="宋体" w:hAnsi="宋体" w:eastAsia="宋体" w:cs="宋体"/>
                <w:szCs w:val="21"/>
              </w:rPr>
              <w:t xml:space="preserve"> http://yizheng.etrading.cn/</w:t>
            </w:r>
            <w:r>
              <w:rPr>
                <w:rFonts w:hint="eastAsia" w:ascii="宋体" w:hAnsi="宋体" w:eastAsia="宋体" w:cs="宋体"/>
                <w:szCs w:val="21"/>
              </w:rPr>
              <w:t>中“澄清/变更公告”模块和“电子化交易系统”中“答疑澄清文件领取”模块公布的有关该工程的澄清、修改（答疑、补遗文件）、招标控制价（如有）等内容。投标人查阅如有遗漏，或投标人因自身原因未能及时掌握上述网上公示信息，或投标人由于对资格预审文件或招标文件的任何推论和误解以及招标人对有关问题的口头解释所造成的后果，其风险应由投标人自行承担，由此造成投标损失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10.6</w:t>
            </w:r>
          </w:p>
        </w:tc>
        <w:tc>
          <w:tcPr>
            <w:tcW w:w="2181" w:type="dxa"/>
            <w:vAlign w:val="center"/>
          </w:tcPr>
          <w:p>
            <w:pPr>
              <w:adjustRightInd w:val="0"/>
              <w:snapToGrid w:val="0"/>
              <w:ind w:firstLine="420" w:firstLineChars="200"/>
              <w:rPr>
                <w:rFonts w:ascii="宋体" w:hAnsi="宋体" w:eastAsia="宋体" w:cs="宋体"/>
                <w:szCs w:val="21"/>
              </w:rPr>
            </w:pPr>
            <w:r>
              <w:rPr>
                <w:rFonts w:hint="eastAsia" w:ascii="宋体" w:hAnsi="宋体" w:eastAsia="宋体" w:cs="Times New Roman"/>
                <w:snapToGrid w:val="0"/>
                <w:szCs w:val="21"/>
              </w:rPr>
              <w:t>不见面开标</w:t>
            </w:r>
          </w:p>
        </w:tc>
        <w:tc>
          <w:tcPr>
            <w:tcW w:w="5974" w:type="dxa"/>
            <w:vAlign w:val="center"/>
          </w:tcPr>
          <w:p>
            <w:pPr>
              <w:adjustRightInd w:val="0"/>
              <w:snapToGrid w:val="0"/>
              <w:rPr>
                <w:rFonts w:ascii="宋体" w:hAnsi="宋体" w:eastAsia="宋体" w:cs="宋体"/>
                <w:szCs w:val="21"/>
              </w:rPr>
            </w:pPr>
            <w:r>
              <w:rPr>
                <w:rFonts w:hint="eastAsia" w:ascii="宋体" w:hAnsi="宋体" w:eastAsia="宋体" w:cs="宋体"/>
                <w:szCs w:val="21"/>
              </w:rPr>
              <w:t>本工程采用不见面开标：投标人无需到达开标现场，直接使用CA数字证书登录不见面开标大厅（http://js.etrading.cn/EpointBidOpening/bidopeninghallaction/hall/login）参加开标活动，无需签到，只需在开评标系统完成公布投标人名单时间后，在招标文件规定的时间内完成投标文件解密工作。未在规定时间内解密投标文件的，将被视为放弃投标。</w:t>
            </w:r>
          </w:p>
          <w:p>
            <w:pPr>
              <w:adjustRightInd w:val="0"/>
              <w:snapToGrid w:val="0"/>
              <w:rPr>
                <w:rFonts w:ascii="宋体" w:hAnsi="宋体" w:eastAsia="宋体" w:cs="宋体"/>
                <w:szCs w:val="21"/>
              </w:rPr>
            </w:pPr>
            <w:r>
              <w:rPr>
                <w:rFonts w:hint="eastAsia" w:ascii="宋体" w:hAnsi="宋体" w:eastAsia="宋体" w:cs="宋体"/>
                <w:szCs w:val="21"/>
              </w:rPr>
              <w:t>不见面开标注意事项：</w:t>
            </w:r>
          </w:p>
          <w:p>
            <w:pPr>
              <w:adjustRightInd w:val="0"/>
              <w:snapToGrid w:val="0"/>
              <w:rPr>
                <w:rFonts w:ascii="宋体" w:hAnsi="宋体" w:eastAsia="宋体" w:cs="宋体"/>
                <w:szCs w:val="21"/>
              </w:rPr>
            </w:pPr>
            <w:r>
              <w:rPr>
                <w:rFonts w:hint="eastAsia" w:ascii="宋体" w:hAnsi="宋体" w:eastAsia="宋体" w:cs="宋体"/>
                <w:szCs w:val="21"/>
              </w:rPr>
              <w:t>1、开标时间均以国家授时中心发布的时间为准。</w:t>
            </w:r>
          </w:p>
          <w:p>
            <w:pPr>
              <w:adjustRightInd w:val="0"/>
              <w:snapToGrid w:val="0"/>
              <w:rPr>
                <w:rFonts w:ascii="宋体" w:hAnsi="宋体" w:eastAsia="宋体" w:cs="宋体"/>
                <w:szCs w:val="21"/>
              </w:rPr>
            </w:pPr>
            <w:r>
              <w:rPr>
                <w:rFonts w:hint="eastAsia" w:ascii="宋体" w:hAnsi="宋体" w:eastAsia="宋体" w:cs="宋体"/>
                <w:szCs w:val="21"/>
              </w:rPr>
              <w:t>2、本项目招投标文件均用专用招投标工具软件编制，并通过网上招投标平台完成招投标过程。投标人投标文件的编制和递交，应依照招标文件的规定进行。如未按招标文件要求编制、递交电子投标文件，将可能导致废标，其后果由投标人自负。投标人如对正确使用招投标专用工具软件有疑问的，请尽早和软件公司的服务人员联系，他们会根据投标人要求，提供必要的培训和技术支持。</w:t>
            </w:r>
          </w:p>
          <w:p>
            <w:pPr>
              <w:adjustRightInd w:val="0"/>
              <w:snapToGrid w:val="0"/>
              <w:rPr>
                <w:rFonts w:ascii="宋体" w:hAnsi="宋体" w:eastAsia="宋体" w:cs="宋体"/>
                <w:szCs w:val="21"/>
              </w:rPr>
            </w:pPr>
            <w:r>
              <w:rPr>
                <w:rFonts w:hint="eastAsia" w:ascii="宋体" w:hAnsi="宋体" w:eastAsia="宋体" w:cs="宋体"/>
                <w:szCs w:val="21"/>
              </w:rPr>
              <w:t>3、投标人通过网上招投标平台递交的电子投标文件为评标依据，开标当日，投标人可在任意地点通过登录会员系统网上开标大厅（http://js.etrading.cn/EpointBidOpening/bidopeninghallaction/hall/login），进入登录页面，通过CA登录与现场招标人进行互动交流、澄清、提疑以及文件传送等活动。</w:t>
            </w:r>
          </w:p>
          <w:p>
            <w:pPr>
              <w:adjustRightInd w:val="0"/>
              <w:snapToGrid w:val="0"/>
              <w:rPr>
                <w:rFonts w:ascii="宋体" w:hAnsi="宋体" w:eastAsia="宋体" w:cs="宋体"/>
                <w:szCs w:val="21"/>
              </w:rPr>
            </w:pPr>
            <w:r>
              <w:rPr>
                <w:rFonts w:hint="eastAsia" w:ascii="宋体" w:hAnsi="宋体" w:eastAsia="宋体" w:cs="宋体"/>
                <w:szCs w:val="21"/>
              </w:rPr>
              <w:t>4、投标文件递交截止时间后，招标人将在系统内公布投标人名单，然后通过开标会议区发出投标文件解密的指令，投标人在各自地点按规定时间自行实施远程解密，投标人应在招标文件规定的解密时间内完成解密。因投标人网络与电源不稳定、未配置软硬件、解密锁发生故障或用错、故意不在要求时限内完成解密等自身原因，导致投标文件在规定时间内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adjustRightInd w:val="0"/>
              <w:snapToGrid w:val="0"/>
              <w:rPr>
                <w:rFonts w:ascii="宋体" w:hAnsi="宋体" w:eastAsia="宋体" w:cs="宋体"/>
                <w:szCs w:val="21"/>
              </w:rPr>
            </w:pPr>
            <w:r>
              <w:rPr>
                <w:rFonts w:hint="eastAsia" w:ascii="宋体" w:hAnsi="宋体" w:eastAsia="宋体" w:cs="宋体"/>
                <w:szCs w:val="21"/>
              </w:rPr>
              <w:t>5、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djustRightInd w:val="0"/>
              <w:snapToGrid w:val="0"/>
              <w:rPr>
                <w:rFonts w:ascii="宋体" w:hAnsi="宋体" w:eastAsia="宋体" w:cs="宋体"/>
                <w:szCs w:val="21"/>
              </w:rPr>
            </w:pPr>
            <w:r>
              <w:rPr>
                <w:rFonts w:hint="eastAsia" w:ascii="宋体" w:hAnsi="宋体" w:eastAsia="宋体" w:cs="宋体"/>
                <w:szCs w:val="21"/>
              </w:rPr>
              <w:t>6、为保证交互效果，建议投标人选择封闭安静的地点参与远程交互。因投标人自身软硬件配备不齐全或发生故障等问题而导致在交互过程中出现不稳定或中断等情况的，由投标人自身承担一切后果。</w:t>
            </w:r>
          </w:p>
          <w:p>
            <w:pPr>
              <w:adjustRightInd w:val="0"/>
              <w:snapToGrid w:val="0"/>
              <w:rPr>
                <w:rFonts w:ascii="宋体" w:hAnsi="宋体" w:eastAsia="宋体" w:cs="宋体"/>
                <w:szCs w:val="21"/>
              </w:rPr>
            </w:pPr>
            <w:r>
              <w:rPr>
                <w:rFonts w:hint="eastAsia" w:ascii="宋体" w:hAnsi="宋体" w:eastAsia="宋体" w:cs="宋体"/>
                <w:szCs w:val="21"/>
              </w:rPr>
              <w:t>咨询电话：4009280095-5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10.7</w:t>
            </w:r>
          </w:p>
        </w:tc>
        <w:tc>
          <w:tcPr>
            <w:tcW w:w="2181" w:type="dxa"/>
            <w:vAlign w:val="center"/>
          </w:tcPr>
          <w:p>
            <w:pPr>
              <w:autoSpaceDE w:val="0"/>
              <w:autoSpaceDN w:val="0"/>
              <w:adjustRightInd w:val="0"/>
              <w:spacing w:line="312" w:lineRule="auto"/>
              <w:jc w:val="center"/>
              <w:rPr>
                <w:rFonts w:ascii="宋体" w:hAnsi="宋体" w:eastAsia="宋体" w:cs="宋体"/>
                <w:kern w:val="0"/>
                <w:sz w:val="24"/>
                <w:szCs w:val="21"/>
              </w:rPr>
            </w:pPr>
            <w:r>
              <w:rPr>
                <w:rFonts w:hint="eastAsia" w:ascii="宋体" w:hAnsi="宋体" w:eastAsia="宋体" w:cs="宋体"/>
                <w:kern w:val="0"/>
                <w:szCs w:val="21"/>
              </w:rPr>
              <w:t>解释权</w:t>
            </w:r>
          </w:p>
        </w:tc>
        <w:tc>
          <w:tcPr>
            <w:tcW w:w="5974" w:type="dxa"/>
          </w:tcPr>
          <w:p>
            <w:pPr>
              <w:autoSpaceDE w:val="0"/>
              <w:autoSpaceDN w:val="0"/>
              <w:adjustRightInd w:val="0"/>
              <w:spacing w:line="312" w:lineRule="auto"/>
              <w:jc w:val="left"/>
              <w:rPr>
                <w:rFonts w:ascii="宋体" w:hAnsi="宋体" w:eastAsia="宋体" w:cs="宋体"/>
                <w:snapToGrid w:val="0"/>
                <w:kern w:val="0"/>
                <w:sz w:val="24"/>
                <w:szCs w:val="21"/>
              </w:rPr>
            </w:pPr>
            <w:r>
              <w:rPr>
                <w:rFonts w:hint="eastAsia" w:ascii="宋体" w:hAnsi="宋体" w:eastAsia="宋体" w:cs="宋体"/>
                <w:kern w:val="0"/>
                <w:szCs w:val="21"/>
              </w:rPr>
              <w:t xml:space="preserve">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spacing w:line="312" w:lineRule="auto"/>
              <w:jc w:val="center"/>
              <w:rPr>
                <w:rFonts w:ascii="宋体" w:hAnsi="宋体" w:eastAsia="宋体" w:cs="宋体"/>
                <w:color w:val="000000"/>
                <w:szCs w:val="20"/>
              </w:rPr>
            </w:pPr>
            <w:r>
              <w:rPr>
                <w:rFonts w:hint="eastAsia" w:ascii="宋体" w:hAnsi="宋体" w:eastAsia="宋体" w:cs="宋体"/>
                <w:color w:val="000000"/>
                <w:szCs w:val="20"/>
              </w:rPr>
              <w:t>10.8</w:t>
            </w:r>
          </w:p>
        </w:tc>
        <w:tc>
          <w:tcPr>
            <w:tcW w:w="2181" w:type="dxa"/>
            <w:vAlign w:val="center"/>
          </w:tcPr>
          <w:p>
            <w:pPr>
              <w:autoSpaceDE w:val="0"/>
              <w:autoSpaceDN w:val="0"/>
              <w:adjustRightInd w:val="0"/>
              <w:spacing w:line="312" w:lineRule="auto"/>
              <w:jc w:val="center"/>
              <w:rPr>
                <w:rFonts w:ascii="宋体" w:hAnsi="宋体" w:eastAsia="宋体" w:cs="宋体"/>
                <w:kern w:val="0"/>
                <w:szCs w:val="21"/>
              </w:rPr>
            </w:pPr>
            <w:r>
              <w:rPr>
                <w:rFonts w:hint="eastAsia" w:ascii="宋体" w:hAnsi="宋体" w:eastAsia="宋体" w:cs="宋体"/>
                <w:spacing w:val="-6"/>
                <w:kern w:val="0"/>
                <w:szCs w:val="21"/>
              </w:rPr>
              <w:t>需要补充的其他内容</w:t>
            </w:r>
          </w:p>
        </w:tc>
        <w:tc>
          <w:tcPr>
            <w:tcW w:w="5974" w:type="dxa"/>
          </w:tcPr>
          <w:p>
            <w:pPr>
              <w:numPr>
                <w:ilvl w:val="0"/>
                <w:numId w:val="3"/>
              </w:num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下文中与</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内容不一致的，以</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前附表</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为准；</w:t>
            </w:r>
          </w:p>
          <w:p>
            <w:pPr>
              <w:numPr>
                <w:ilvl w:val="0"/>
                <w:numId w:val="3"/>
              </w:numPr>
              <w:spacing w:after="120"/>
              <w:rPr>
                <w:rFonts w:ascii="Times New Roman" w:hAnsi="Times New Roman" w:eastAsia="宋体" w:cs="Times New Roman"/>
                <w:szCs w:val="20"/>
              </w:rPr>
            </w:pPr>
            <w:r>
              <w:rPr>
                <w:rFonts w:hint="eastAsia" w:ascii="宋体" w:hAnsi="Times New Roman" w:eastAsia="宋体" w:cs="宋体"/>
                <w:color w:val="000000"/>
                <w:kern w:val="0"/>
                <w:szCs w:val="21"/>
              </w:rPr>
              <w:t>中标人按招标人要求，提交与电子版投标文件内容一致的书</w:t>
            </w:r>
          </w:p>
          <w:p>
            <w:pPr>
              <w:spacing w:after="120"/>
              <w:rPr>
                <w:rFonts w:ascii="Times New Roman" w:hAnsi="Times New Roman" w:eastAsia="宋体" w:cs="Times New Roman"/>
                <w:szCs w:val="20"/>
              </w:rPr>
            </w:pPr>
            <w:r>
              <w:rPr>
                <w:rFonts w:hint="eastAsia" w:ascii="宋体" w:hAnsi="Times New Roman" w:eastAsia="宋体" w:cs="宋体"/>
                <w:color w:val="000000"/>
                <w:kern w:val="0"/>
                <w:szCs w:val="21"/>
              </w:rPr>
              <w:t>面投标文件三份。</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3、投标人或者其他利害关系人认为招标投标活动不符合法律、法规和规章规定的</w:t>
            </w:r>
            <w:r>
              <w:rPr>
                <w:rFonts w:ascii="宋体" w:hAnsi="Times New Roman" w:eastAsia="宋体" w:cs="宋体"/>
                <w:color w:val="000000"/>
                <w:kern w:val="0"/>
                <w:szCs w:val="21"/>
              </w:rPr>
              <w:t>,</w:t>
            </w:r>
            <w:r>
              <w:rPr>
                <w:rFonts w:hint="eastAsia" w:ascii="宋体" w:hAnsi="Times New Roman" w:eastAsia="宋体" w:cs="宋体"/>
                <w:color w:val="000000"/>
                <w:kern w:val="0"/>
                <w:szCs w:val="21"/>
              </w:rPr>
              <w:t>可以依法向招标人提出异议，也可以在知道或者应当知道之日起</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日内，向有关行政监督部门投诉，但就《中华人民共和国招标投标法实施条例》第二十二条、第四十四条、第五十四条规定事项进行投诉的，应当依法先向招标人提出异议。异议答复期间不计入投诉受理期限内。</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4、异议提出的期限规定如下：</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）、对招标文件有异议的，潜在投标人或者其他利害关系人应当在投标截止时间</w:t>
            </w:r>
            <w:r>
              <w:rPr>
                <w:rFonts w:ascii="宋体" w:hAnsi="Times New Roman" w:eastAsia="宋体" w:cs="宋体"/>
                <w:color w:val="000000"/>
                <w:kern w:val="0"/>
                <w:szCs w:val="21"/>
              </w:rPr>
              <w:t xml:space="preserve"> 10 </w:t>
            </w:r>
            <w:r>
              <w:rPr>
                <w:rFonts w:hint="eastAsia" w:ascii="宋体" w:hAnsi="Times New Roman" w:eastAsia="宋体" w:cs="宋体"/>
                <w:color w:val="000000"/>
                <w:kern w:val="0"/>
                <w:szCs w:val="21"/>
              </w:rPr>
              <w:t>日前提出，其中对采用合理价随机确定中标人法发包的，在提交投标文件截止时间</w:t>
            </w:r>
            <w:r>
              <w:rPr>
                <w:rFonts w:ascii="宋体" w:hAnsi="Times New Roman" w:eastAsia="宋体" w:cs="宋体"/>
                <w:color w:val="000000"/>
                <w:kern w:val="0"/>
                <w:szCs w:val="21"/>
              </w:rPr>
              <w:t xml:space="preserve"> 1 </w:t>
            </w:r>
            <w:r>
              <w:rPr>
                <w:rFonts w:hint="eastAsia" w:ascii="宋体" w:hAnsi="Times New Roman" w:eastAsia="宋体" w:cs="宋体"/>
                <w:color w:val="000000"/>
                <w:kern w:val="0"/>
                <w:szCs w:val="21"/>
              </w:rPr>
              <w:t>日前提出；</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）异议人对涉及开标事项提出异议的，应当在开标结束前提出，招标人应当当场作出答复，并制作记录。开标结束后投标人不得对开标事项再提出异议。</w:t>
            </w:r>
            <w:r>
              <w:rPr>
                <w:rFonts w:ascii="宋体" w:hAnsi="Times New Roman" w:eastAsia="宋体" w:cs="宋体"/>
                <w:color w:val="000000"/>
                <w:kern w:val="0"/>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3</w:t>
            </w:r>
            <w:r>
              <w:rPr>
                <w:rFonts w:hint="eastAsia" w:ascii="宋体" w:hAnsi="Times New Roman" w:eastAsia="宋体" w:cs="宋体"/>
                <w:color w:val="000000"/>
                <w:kern w:val="0"/>
                <w:szCs w:val="21"/>
              </w:rPr>
              <w:t>）评标结果有异议的，投标人或者其他利害关系人应当在中标候选人的公示期间提出。</w:t>
            </w:r>
            <w:r>
              <w:rPr>
                <w:rFonts w:ascii="宋体" w:hAnsi="Times New Roman" w:eastAsia="宋体" w:cs="宋体"/>
                <w:color w:val="000000"/>
                <w:kern w:val="0"/>
                <w:szCs w:val="21"/>
              </w:rPr>
              <w:t xml:space="preserve"> </w:t>
            </w:r>
          </w:p>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5、异议、投诉受理单位及其联系方式</w:t>
            </w:r>
            <w:r>
              <w:rPr>
                <w:rFonts w:ascii="Times New Roman" w:hAnsi="Times New Roman" w:eastAsia="宋体" w:cs="Times New Roman"/>
                <w:szCs w:val="21"/>
              </w:rPr>
              <w:t xml:space="preserve">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1</w:t>
            </w:r>
            <w:r>
              <w:rPr>
                <w:rFonts w:hint="eastAsia" w:ascii="宋体" w:hAnsi="Times New Roman" w:eastAsia="宋体" w:cs="宋体"/>
                <w:color w:val="000000"/>
                <w:kern w:val="0"/>
                <w:szCs w:val="21"/>
              </w:rPr>
              <w:t>）、异议受理单位：仪征市博润建材商贸有限公司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0514-83585696</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 xml:space="preserve">地址：仪征市解放东路818号 </w:t>
            </w:r>
          </w:p>
          <w:p>
            <w:pPr>
              <w:autoSpaceDE w:val="0"/>
              <w:autoSpaceDN w:val="0"/>
              <w:adjustRightInd w:val="0"/>
              <w:rPr>
                <w:rFonts w:ascii="宋体" w:hAnsi="Times New Roman" w:eastAsia="宋体" w:cs="宋体"/>
                <w:color w:val="000000"/>
                <w:kern w:val="0"/>
                <w:szCs w:val="21"/>
              </w:rPr>
            </w:pPr>
            <w:r>
              <w:rPr>
                <w:rFonts w:ascii="宋体" w:hAnsi="Times New Roman" w:eastAsia="宋体" w:cs="宋体"/>
                <w:color w:val="000000"/>
                <w:kern w:val="0"/>
                <w:szCs w:val="21"/>
              </w:rPr>
              <w:t>2</w:t>
            </w:r>
            <w:r>
              <w:rPr>
                <w:rFonts w:hint="eastAsia" w:ascii="宋体" w:hAnsi="Times New Roman" w:eastAsia="宋体" w:cs="宋体"/>
                <w:color w:val="000000"/>
                <w:kern w:val="0"/>
                <w:szCs w:val="21"/>
              </w:rPr>
              <w:t>）、投诉受理单位：仪征市博润建材商贸有限公司</w:t>
            </w:r>
          </w:p>
          <w:p>
            <w:pPr>
              <w:autoSpaceDE w:val="0"/>
              <w:autoSpaceDN w:val="0"/>
              <w:adjustRightInd w:val="0"/>
              <w:rPr>
                <w:rFonts w:ascii="宋体" w:hAnsi="Times New Roman" w:eastAsia="宋体" w:cs="宋体"/>
                <w:color w:val="000000"/>
                <w:kern w:val="0"/>
                <w:szCs w:val="21"/>
              </w:rPr>
            </w:pPr>
            <w:r>
              <w:rPr>
                <w:rFonts w:hint="eastAsia" w:ascii="宋体" w:hAnsi="Times New Roman" w:eastAsia="宋体" w:cs="宋体"/>
                <w:color w:val="000000"/>
                <w:kern w:val="0"/>
                <w:szCs w:val="21"/>
              </w:rPr>
              <w:t>联系电话：</w:t>
            </w:r>
            <w:r>
              <w:rPr>
                <w:rFonts w:ascii="宋体" w:hAnsi="Times New Roman" w:eastAsia="宋体" w:cs="宋体"/>
                <w:color w:val="000000"/>
                <w:kern w:val="0"/>
                <w:szCs w:val="21"/>
              </w:rPr>
              <w:t xml:space="preserve"> 0514-83585696</w:t>
            </w:r>
          </w:p>
          <w:p>
            <w:pPr>
              <w:autoSpaceDE w:val="0"/>
              <w:autoSpaceDN w:val="0"/>
              <w:adjustRightInd w:val="0"/>
              <w:rPr>
                <w:rFonts w:ascii="宋体" w:hAnsi="Times New Roman" w:eastAsia="宋体" w:cs="宋体"/>
                <w:color w:val="000000"/>
                <w:kern w:val="0"/>
                <w:sz w:val="24"/>
                <w:szCs w:val="21"/>
              </w:rPr>
            </w:pPr>
            <w:r>
              <w:rPr>
                <w:rFonts w:hint="eastAsia" w:ascii="宋体" w:hAnsi="Times New Roman" w:eastAsia="宋体" w:cs="宋体"/>
                <w:color w:val="000000"/>
                <w:kern w:val="0"/>
                <w:szCs w:val="21"/>
              </w:rPr>
              <w:t>地址：仪征市解放东路818号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vAlign w:val="center"/>
          </w:tcPr>
          <w:p>
            <w:pPr>
              <w:autoSpaceDE w:val="0"/>
              <w:autoSpaceDN w:val="0"/>
              <w:adjustRightInd w:val="0"/>
              <w:rPr>
                <w:rFonts w:ascii="宋体" w:hAnsi="Times New Roman" w:eastAsia="宋体" w:cs="宋体"/>
                <w:color w:val="000000"/>
                <w:kern w:val="0"/>
                <w:szCs w:val="21"/>
                <w:highlight w:val="yellow"/>
              </w:rPr>
            </w:pPr>
            <w:r>
              <w:rPr>
                <w:rFonts w:hint="eastAsia" w:ascii="宋体" w:hAnsi="宋体" w:eastAsia="宋体" w:cs="宋体"/>
                <w:color w:val="000000"/>
                <w:szCs w:val="21"/>
              </w:rPr>
              <w:t>电子投标咨询电话（软件公司技术咨询）：</w:t>
            </w:r>
            <w:r>
              <w:rPr>
                <w:rFonts w:ascii="宋体" w:hAnsi="宋体" w:eastAsia="宋体" w:cs="宋体"/>
                <w:color w:val="000000"/>
                <w:szCs w:val="21"/>
              </w:rPr>
              <w:t>4009280095-4</w:t>
            </w:r>
          </w:p>
        </w:tc>
      </w:tr>
    </w:tbl>
    <w:p>
      <w:pPr>
        <w:autoSpaceDE w:val="0"/>
        <w:autoSpaceDN w:val="0"/>
        <w:adjustRightInd w:val="0"/>
        <w:spacing w:line="320" w:lineRule="exact"/>
        <w:ind w:firstLine="210" w:firstLineChars="100"/>
        <w:jc w:val="center"/>
        <w:rPr>
          <w:rFonts w:ascii="Calibri" w:hAnsi="Calibri" w:eastAsia="Calibri" w:cs="Cambria Math"/>
          <w:kern w:val="0"/>
          <w:szCs w:val="21"/>
        </w:rPr>
        <w:sectPr>
          <w:footerReference r:id="rId7" w:type="default"/>
          <w:type w:val="nextColumn"/>
          <w:pgSz w:w="11906" w:h="16838"/>
          <w:pgMar w:top="1418" w:right="1021" w:bottom="1134" w:left="1701" w:header="851" w:footer="624" w:gutter="0"/>
          <w:pgNumType w:start="1"/>
          <w:cols w:space="720" w:num="1"/>
          <w:docGrid w:linePitch="312" w:charSpace="0"/>
        </w:sectPr>
      </w:pPr>
    </w:p>
    <w:bookmarkEnd w:id="0"/>
    <w:bookmarkEnd w:id="1"/>
    <w:bookmarkEnd w:id="2"/>
    <w:p>
      <w:pPr>
        <w:spacing w:line="380" w:lineRule="exact"/>
        <w:jc w:val="center"/>
        <w:outlineLvl w:val="1"/>
        <w:rPr>
          <w:rFonts w:ascii="Calibri" w:hAnsi="Calibri" w:eastAsia="Calibri" w:cs="Times New Roman"/>
          <w:b/>
          <w:kern w:val="0"/>
          <w:sz w:val="28"/>
          <w:szCs w:val="28"/>
        </w:rPr>
      </w:pPr>
      <w:bookmarkStart w:id="11" w:name="_Toc369077561"/>
      <w:bookmarkStart w:id="12" w:name="_Toc368760427"/>
      <w:bookmarkStart w:id="13" w:name="_Toc184635071"/>
      <w:bookmarkStart w:id="14" w:name="_Toc363329370"/>
      <w:bookmarkStart w:id="15" w:name="_Toc397975243"/>
      <w:bookmarkStart w:id="16" w:name="_Toc367894798"/>
      <w:bookmarkStart w:id="17" w:name="_Toc368759375"/>
      <w:r>
        <w:rPr>
          <w:rFonts w:ascii="Calibri" w:hAnsi="Calibri" w:eastAsia="Calibri" w:cs="Times New Roman"/>
          <w:b/>
          <w:kern w:val="0"/>
          <w:sz w:val="28"/>
          <w:szCs w:val="28"/>
        </w:rPr>
        <w:t>1.</w:t>
      </w:r>
      <w:r>
        <w:rPr>
          <w:rFonts w:hint="eastAsia" w:ascii="宋体" w:hAnsi="宋体" w:eastAsia="宋体" w:cs="宋体"/>
          <w:b/>
          <w:kern w:val="0"/>
          <w:sz w:val="28"/>
          <w:szCs w:val="28"/>
        </w:rPr>
        <w:t>总则</w:t>
      </w:r>
      <w:bookmarkEnd w:id="11"/>
      <w:bookmarkEnd w:id="12"/>
      <w:bookmarkEnd w:id="13"/>
      <w:bookmarkEnd w:id="14"/>
      <w:bookmarkEnd w:id="15"/>
      <w:bookmarkEnd w:id="16"/>
      <w:bookmarkEnd w:id="17"/>
    </w:p>
    <w:p>
      <w:pPr>
        <w:spacing w:line="380" w:lineRule="exact"/>
        <w:outlineLvl w:val="2"/>
        <w:rPr>
          <w:rFonts w:ascii="Calibri" w:hAnsi="Calibri" w:eastAsia="Calibri" w:cs="Times New Roman"/>
          <w:b/>
          <w:bCs/>
          <w:sz w:val="28"/>
          <w:szCs w:val="28"/>
        </w:rPr>
      </w:pPr>
      <w:bookmarkStart w:id="18" w:name="_Toc397975244"/>
      <w:r>
        <w:rPr>
          <w:rFonts w:ascii="Calibri" w:hAnsi="Calibri" w:eastAsia="Calibri" w:cs="Times New Roman"/>
          <w:b/>
          <w:bCs/>
          <w:sz w:val="28"/>
          <w:szCs w:val="28"/>
        </w:rPr>
        <w:t xml:space="preserve">1.1 </w:t>
      </w:r>
      <w:r>
        <w:rPr>
          <w:rFonts w:hint="eastAsia" w:ascii="宋体" w:hAnsi="宋体" w:eastAsia="宋体" w:cs="宋体"/>
          <w:b/>
          <w:bCs/>
          <w:sz w:val="28"/>
          <w:szCs w:val="28"/>
        </w:rPr>
        <w:t>项目概况</w:t>
      </w:r>
      <w:bookmarkEnd w:id="18"/>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1.1.1根据有关法律、法规和规章的规定，本招标项目已具备招标条件，现对本项目货物进行招标。</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1.1.2本招标项目招标人：见投标人须知前附表。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1.1.3本招标项目</w:t>
      </w:r>
      <w:r>
        <w:rPr>
          <w:rFonts w:hint="eastAsia" w:ascii="Calibri" w:hAnsi="Calibri" w:eastAsia="宋体" w:cs="Times New Roman"/>
          <w:szCs w:val="21"/>
        </w:rPr>
        <w:t>招标代理机构</w:t>
      </w:r>
      <w:r>
        <w:rPr>
          <w:rFonts w:ascii="Calibri" w:hAnsi="Calibri" w:eastAsia="宋体" w:cs="Times New Roman"/>
          <w:szCs w:val="21"/>
        </w:rPr>
        <w:t>：见投标人须知前附表。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1.1.</w:t>
      </w:r>
      <w:r>
        <w:rPr>
          <w:rFonts w:hint="eastAsia" w:ascii="Calibri" w:hAnsi="Calibri" w:eastAsia="宋体" w:cs="Times New Roman"/>
          <w:szCs w:val="21"/>
        </w:rPr>
        <w:t>4</w:t>
      </w:r>
      <w:r>
        <w:rPr>
          <w:rFonts w:ascii="Calibri" w:hAnsi="Calibri" w:eastAsia="宋体" w:cs="Times New Roman"/>
          <w:szCs w:val="21"/>
        </w:rPr>
        <w:t>本招标项目名称：见投标人须知前附表。</w:t>
      </w:r>
    </w:p>
    <w:p>
      <w:pPr>
        <w:spacing w:line="380" w:lineRule="exact"/>
        <w:outlineLvl w:val="2"/>
        <w:rPr>
          <w:rFonts w:ascii="Calibri" w:hAnsi="Calibri" w:eastAsia="Calibri" w:cs="Times New Roman"/>
          <w:b/>
          <w:bCs/>
          <w:sz w:val="28"/>
          <w:szCs w:val="28"/>
        </w:rPr>
      </w:pPr>
      <w:bookmarkStart w:id="19" w:name="_Toc397975245"/>
      <w:r>
        <w:rPr>
          <w:rFonts w:ascii="Calibri" w:hAnsi="Calibri" w:eastAsia="Calibri" w:cs="Times New Roman"/>
          <w:b/>
          <w:bCs/>
          <w:sz w:val="28"/>
          <w:szCs w:val="28"/>
        </w:rPr>
        <w:t xml:space="preserve">1.2 </w:t>
      </w:r>
      <w:r>
        <w:rPr>
          <w:rFonts w:hint="eastAsia" w:ascii="宋体" w:hAnsi="宋体" w:eastAsia="宋体" w:cs="宋体"/>
          <w:b/>
          <w:bCs/>
          <w:sz w:val="28"/>
          <w:szCs w:val="28"/>
        </w:rPr>
        <w:t>资金来源和落实情况</w:t>
      </w:r>
      <w:bookmarkEnd w:id="19"/>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1.2.1本招标项目的资金来源：见投标人须知前附表。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1.2.2本招标项目的出资比例：见投标人须知前附表。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1.2.</w:t>
      </w:r>
      <w:r>
        <w:rPr>
          <w:rFonts w:hint="eastAsia" w:ascii="Calibri" w:hAnsi="Calibri" w:eastAsia="宋体" w:cs="Times New Roman"/>
          <w:szCs w:val="21"/>
        </w:rPr>
        <w:t>3</w:t>
      </w:r>
      <w:r>
        <w:rPr>
          <w:rFonts w:ascii="Calibri" w:hAnsi="Calibri" w:eastAsia="宋体" w:cs="Times New Roman"/>
          <w:szCs w:val="21"/>
        </w:rPr>
        <w:t>本招标项目的资金落实情况：见投标人须知前附表。</w:t>
      </w:r>
    </w:p>
    <w:p>
      <w:pPr>
        <w:spacing w:line="380" w:lineRule="exact"/>
        <w:outlineLvl w:val="2"/>
        <w:rPr>
          <w:rFonts w:ascii="Calibri" w:hAnsi="Calibri" w:eastAsia="Calibri" w:cs="Times New Roman"/>
          <w:b/>
          <w:bCs/>
          <w:sz w:val="28"/>
          <w:szCs w:val="28"/>
        </w:rPr>
      </w:pPr>
      <w:bookmarkStart w:id="20" w:name="_Toc397975246"/>
      <w:r>
        <w:rPr>
          <w:rFonts w:ascii="Calibri" w:hAnsi="Calibri" w:eastAsia="Calibri" w:cs="Times New Roman"/>
          <w:b/>
          <w:bCs/>
          <w:sz w:val="28"/>
          <w:szCs w:val="28"/>
        </w:rPr>
        <w:t>1.3</w:t>
      </w:r>
      <w:r>
        <w:rPr>
          <w:rFonts w:hint="eastAsia" w:ascii="宋体" w:hAnsi="宋体" w:eastAsia="宋体" w:cs="宋体"/>
          <w:b/>
          <w:bCs/>
          <w:sz w:val="28"/>
          <w:szCs w:val="28"/>
        </w:rPr>
        <w:t>招标范围、交货期或工期和质量要求</w:t>
      </w:r>
      <w:bookmarkEnd w:id="20"/>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1.3.1本次招标范围：见投标人须知前附表。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1.3.2本招标项目的交货期或工期：见投标人须知前附表。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1.3.3本招标项目的交货地点：见投标人须知前附表。</w:t>
      </w:r>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1.3.4本招标项目的质量要求</w:t>
      </w:r>
      <w:r>
        <w:rPr>
          <w:rFonts w:hint="eastAsia" w:ascii="Calibri" w:hAnsi="Calibri" w:eastAsia="宋体" w:cs="Times New Roman"/>
          <w:szCs w:val="21"/>
        </w:rPr>
        <w:t>及验收标准</w:t>
      </w:r>
      <w:r>
        <w:rPr>
          <w:rFonts w:ascii="Calibri" w:hAnsi="Calibri" w:eastAsia="宋体" w:cs="Times New Roman"/>
          <w:szCs w:val="21"/>
        </w:rPr>
        <w:t>：见投标人须知前附表。</w:t>
      </w:r>
    </w:p>
    <w:p>
      <w:pPr>
        <w:spacing w:line="380" w:lineRule="exact"/>
        <w:outlineLvl w:val="2"/>
        <w:rPr>
          <w:rFonts w:ascii="Calibri" w:hAnsi="Calibri" w:eastAsia="Calibri" w:cs="Times New Roman"/>
          <w:b/>
          <w:bCs/>
          <w:sz w:val="28"/>
          <w:szCs w:val="28"/>
        </w:rPr>
      </w:pPr>
      <w:bookmarkStart w:id="21" w:name="_Toc397975247"/>
      <w:r>
        <w:rPr>
          <w:rFonts w:ascii="Calibri" w:hAnsi="Calibri" w:eastAsia="Calibri" w:cs="Times New Roman"/>
          <w:b/>
          <w:bCs/>
          <w:sz w:val="28"/>
          <w:szCs w:val="28"/>
        </w:rPr>
        <w:t xml:space="preserve">1.4 </w:t>
      </w:r>
      <w:r>
        <w:rPr>
          <w:rFonts w:hint="eastAsia" w:ascii="宋体" w:hAnsi="宋体" w:eastAsia="宋体" w:cs="宋体"/>
          <w:b/>
          <w:bCs/>
          <w:sz w:val="28"/>
          <w:szCs w:val="28"/>
        </w:rPr>
        <w:t>投标人资格要求</w:t>
      </w:r>
      <w:bookmarkEnd w:id="21"/>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1"/>
        </w:rPr>
        <w:t>1.4.1</w:t>
      </w:r>
      <w:r>
        <w:rPr>
          <w:rFonts w:hint="eastAsia" w:ascii="Calibri" w:hAnsi="Calibri" w:eastAsia="宋体" w:cs="Calibri"/>
          <w:kern w:val="0"/>
          <w:szCs w:val="21"/>
        </w:rPr>
        <w:t xml:space="preserve"> </w:t>
      </w:r>
      <w:r>
        <w:rPr>
          <w:rFonts w:hint="eastAsia" w:ascii="Calibri" w:hAnsi="Calibri" w:eastAsia="宋体" w:cs="Times New Roman"/>
          <w:szCs w:val="20"/>
        </w:rPr>
        <w:t>投标人应具备的资格要求：见投标人须知前附表。</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Calibri"/>
          <w:kern w:val="0"/>
          <w:szCs w:val="21"/>
        </w:rPr>
        <w:t>1.4.2</w:t>
      </w:r>
      <w:r>
        <w:rPr>
          <w:rFonts w:hint="eastAsia" w:ascii="Calibri" w:hAnsi="Calibri" w:eastAsia="宋体" w:cs="Times New Roman"/>
          <w:szCs w:val="20"/>
        </w:rPr>
        <w:t>投标人须知前附表规定接受联合体投标的，除应符合本章第1.4.1项和投标人须知前附表的要求外，还应遵守以下规定：</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（1）联合体各方应按招标文件提供的格式签订联合体协议书，明确联合体牵头人和各方的权利义务；</w:t>
      </w:r>
    </w:p>
    <w:p>
      <w:pPr>
        <w:autoSpaceDE w:val="0"/>
        <w:autoSpaceDN w:val="0"/>
        <w:adjustRightInd w:val="0"/>
        <w:spacing w:line="380" w:lineRule="exact"/>
        <w:ind w:firstLine="420" w:firstLineChars="200"/>
        <w:jc w:val="left"/>
        <w:rPr>
          <w:rFonts w:ascii="Calibri" w:hAnsi="Calibri" w:eastAsia="宋体" w:cs="Times New Roman"/>
          <w:szCs w:val="20"/>
        </w:rPr>
      </w:pPr>
      <w:r>
        <w:rPr>
          <w:rFonts w:hint="eastAsia" w:ascii="Calibri" w:hAnsi="Calibri" w:eastAsia="宋体" w:cs="Times New Roman"/>
          <w:szCs w:val="20"/>
        </w:rPr>
        <w:t>（2）由同一专业的单位组成的联合体，按照资质等级较低的单位确定资质等级；</w:t>
      </w:r>
    </w:p>
    <w:p>
      <w:pPr>
        <w:autoSpaceDE w:val="0"/>
        <w:autoSpaceDN w:val="0"/>
        <w:adjustRightInd w:val="0"/>
        <w:spacing w:line="380" w:lineRule="exact"/>
        <w:ind w:firstLine="420" w:firstLineChars="200"/>
        <w:jc w:val="left"/>
        <w:rPr>
          <w:rFonts w:ascii="Calibri" w:hAnsi="Calibri" w:eastAsia="宋体" w:cs="Courier New"/>
          <w:kern w:val="0"/>
          <w:sz w:val="24"/>
          <w:szCs w:val="20"/>
        </w:rPr>
      </w:pPr>
      <w:r>
        <w:rPr>
          <w:rFonts w:hint="eastAsia" w:ascii="Calibri" w:hAnsi="Calibri" w:eastAsia="宋体" w:cs="Times New Roman"/>
          <w:szCs w:val="20"/>
        </w:rPr>
        <w:t>（3）联合体各方不得再以自己名义单独或加入其他联合体在同一标段中参加投标</w:t>
      </w:r>
      <w:r>
        <w:rPr>
          <w:rFonts w:hint="eastAsia" w:ascii="Calibri" w:hAnsi="Calibri" w:eastAsia="宋体" w:cs="Courier New"/>
          <w:kern w:val="0"/>
          <w:sz w:val="24"/>
          <w:szCs w:val="20"/>
        </w:rPr>
        <w:t>。</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1.4.3 投标人不得存在下列情形之一：</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（1）为招标人的附属机构（单位）；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（2）为本标段前期准备提供设计或咨询服务的，但两阶段招标的除外；</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（3）为本标段的监理人；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（4）为本标段的代建人；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（5）为本标段提供招标代理服务的；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（6）与本标段的监理人或代建人或招标代理机构的单位负责人为同一个人的；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（7）与本标段的监理人或代建人或招标代理机构相互控股或参股的；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（8）与本标段的其他申请人的单位负责人为同一个人的；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（9）与本标段的其他申请人之间存在控股、管理关系或母公司、全资子公司关系的；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（10）与本标段的其他申请人投标的货物为同一品牌同一型号；</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处于被责令停业、财产被接管、冻结和破产状态，以及投标资格被取消或者被暂停且在暂停期内；</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（11）</w:t>
      </w:r>
      <w:r>
        <w:rPr>
          <w:rFonts w:hint="eastAsia" w:ascii="Calibri" w:hAnsi="Calibri" w:eastAsia="宋体" w:cs="Calibri"/>
          <w:szCs w:val="21"/>
        </w:rPr>
        <w:t>因拖欠工人工资或者发生质量安全事故被有关部门限制在招标项目所在地承接工程的；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（12）法律法规规定的其他情形。</w:t>
      </w:r>
    </w:p>
    <w:p>
      <w:pPr>
        <w:spacing w:line="380" w:lineRule="exact"/>
        <w:outlineLvl w:val="2"/>
        <w:rPr>
          <w:rFonts w:ascii="Calibri" w:hAnsi="Calibri" w:eastAsia="Calibri" w:cs="Times New Roman"/>
          <w:b/>
          <w:bCs/>
          <w:sz w:val="28"/>
          <w:szCs w:val="28"/>
        </w:rPr>
      </w:pPr>
      <w:bookmarkStart w:id="22" w:name="_Toc397975248"/>
      <w:r>
        <w:rPr>
          <w:rFonts w:ascii="Calibri" w:hAnsi="Calibri" w:eastAsia="Calibri" w:cs="Times New Roman"/>
          <w:b/>
          <w:bCs/>
          <w:sz w:val="28"/>
          <w:szCs w:val="28"/>
        </w:rPr>
        <w:t xml:space="preserve">1.5 </w:t>
      </w:r>
      <w:r>
        <w:rPr>
          <w:rFonts w:hint="eastAsia" w:ascii="宋体" w:hAnsi="宋体" w:eastAsia="宋体" w:cs="宋体"/>
          <w:b/>
          <w:bCs/>
          <w:sz w:val="28"/>
          <w:szCs w:val="28"/>
        </w:rPr>
        <w:t>费用承担</w:t>
      </w:r>
      <w:bookmarkEnd w:id="22"/>
      <w:bookmarkStart w:id="23" w:name="_Toc397975249"/>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宋体" w:hAnsi="宋体" w:eastAsia="宋体" w:cs="宋体"/>
          <w:color w:val="000000"/>
          <w:kern w:val="0"/>
          <w:szCs w:val="21"/>
        </w:rPr>
        <w:t>投标人准备和参加投标活动发生的费用自理。本项目招标代理费（按国家发展计划委员会《计价格【2002】1980号》文标准）、评委费（按实结算）由中标单位支付。</w:t>
      </w:r>
    </w:p>
    <w:p>
      <w:pPr>
        <w:spacing w:line="380" w:lineRule="exact"/>
        <w:outlineLvl w:val="2"/>
        <w:rPr>
          <w:rFonts w:ascii="Calibri" w:hAnsi="Calibri" w:eastAsia="Calibri" w:cs="Times New Roman"/>
          <w:b/>
          <w:bCs/>
          <w:sz w:val="28"/>
          <w:szCs w:val="28"/>
        </w:rPr>
      </w:pPr>
      <w:r>
        <w:rPr>
          <w:rFonts w:ascii="Calibri" w:hAnsi="Calibri" w:eastAsia="Calibri" w:cs="Times New Roman"/>
          <w:b/>
          <w:bCs/>
          <w:sz w:val="28"/>
          <w:szCs w:val="28"/>
        </w:rPr>
        <w:t xml:space="preserve">1.6 </w:t>
      </w:r>
      <w:r>
        <w:rPr>
          <w:rFonts w:hint="eastAsia" w:ascii="宋体" w:hAnsi="宋体" w:eastAsia="宋体" w:cs="宋体"/>
          <w:b/>
          <w:bCs/>
          <w:sz w:val="28"/>
          <w:szCs w:val="28"/>
        </w:rPr>
        <w:t>保密</w:t>
      </w:r>
      <w:bookmarkEnd w:id="23"/>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参与招标投标活动的各方应对招标文件和投标文件中的商业和技术等秘密保密，违者应对由此造成的后果承担法律责任。</w:t>
      </w:r>
    </w:p>
    <w:p>
      <w:pPr>
        <w:spacing w:line="380" w:lineRule="exact"/>
        <w:outlineLvl w:val="2"/>
        <w:rPr>
          <w:rFonts w:ascii="Calibri" w:hAnsi="Calibri" w:eastAsia="Calibri" w:cs="Times New Roman"/>
          <w:b/>
          <w:bCs/>
          <w:sz w:val="28"/>
          <w:szCs w:val="28"/>
        </w:rPr>
      </w:pPr>
      <w:bookmarkStart w:id="24" w:name="_Toc397975250"/>
      <w:r>
        <w:rPr>
          <w:rFonts w:ascii="Calibri" w:hAnsi="Calibri" w:eastAsia="Calibri" w:cs="Times New Roman"/>
          <w:b/>
          <w:bCs/>
          <w:sz w:val="28"/>
          <w:szCs w:val="28"/>
        </w:rPr>
        <w:t xml:space="preserve">1.7 </w:t>
      </w:r>
      <w:r>
        <w:rPr>
          <w:rFonts w:hint="eastAsia" w:ascii="宋体" w:hAnsi="宋体" w:eastAsia="宋体" w:cs="宋体"/>
          <w:b/>
          <w:bCs/>
          <w:sz w:val="28"/>
          <w:szCs w:val="28"/>
        </w:rPr>
        <w:t>语言文字</w:t>
      </w:r>
      <w:bookmarkEnd w:id="24"/>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除专用术语外，与招标投标有关的语言均使用中文。必要时专用术语应附有中文注释。</w:t>
      </w:r>
    </w:p>
    <w:p>
      <w:pPr>
        <w:spacing w:line="380" w:lineRule="exact"/>
        <w:outlineLvl w:val="2"/>
        <w:rPr>
          <w:rFonts w:ascii="Calibri" w:hAnsi="Calibri" w:eastAsia="Calibri" w:cs="Times New Roman"/>
          <w:b/>
          <w:bCs/>
          <w:sz w:val="28"/>
          <w:szCs w:val="28"/>
        </w:rPr>
      </w:pPr>
      <w:bookmarkStart w:id="25" w:name="_Toc397975251"/>
      <w:r>
        <w:rPr>
          <w:rFonts w:ascii="Calibri" w:hAnsi="Calibri" w:eastAsia="Calibri" w:cs="Times New Roman"/>
          <w:b/>
          <w:bCs/>
          <w:sz w:val="28"/>
          <w:szCs w:val="28"/>
        </w:rPr>
        <w:t xml:space="preserve">1.8 </w:t>
      </w:r>
      <w:r>
        <w:rPr>
          <w:rFonts w:hint="eastAsia" w:ascii="宋体" w:hAnsi="宋体" w:eastAsia="宋体" w:cs="宋体"/>
          <w:b/>
          <w:bCs/>
          <w:sz w:val="28"/>
          <w:szCs w:val="28"/>
        </w:rPr>
        <w:t>计量单位</w:t>
      </w:r>
      <w:bookmarkEnd w:id="25"/>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所有计量均采用中华人民共和国法定计量单位。</w:t>
      </w:r>
    </w:p>
    <w:p>
      <w:pPr>
        <w:spacing w:line="380" w:lineRule="exact"/>
        <w:outlineLvl w:val="2"/>
        <w:rPr>
          <w:rFonts w:ascii="Calibri" w:hAnsi="Calibri" w:eastAsia="Calibri" w:cs="Times New Roman"/>
          <w:b/>
          <w:bCs/>
          <w:sz w:val="28"/>
          <w:szCs w:val="28"/>
        </w:rPr>
      </w:pPr>
      <w:bookmarkStart w:id="26" w:name="_Toc397975252"/>
      <w:r>
        <w:rPr>
          <w:rFonts w:ascii="Calibri" w:hAnsi="Calibri" w:eastAsia="Calibri" w:cs="Times New Roman"/>
          <w:b/>
          <w:bCs/>
          <w:sz w:val="28"/>
          <w:szCs w:val="28"/>
        </w:rPr>
        <w:t xml:space="preserve">1.9 </w:t>
      </w:r>
      <w:r>
        <w:rPr>
          <w:rFonts w:hint="eastAsia" w:ascii="宋体" w:hAnsi="宋体" w:eastAsia="宋体" w:cs="宋体"/>
          <w:b/>
          <w:bCs/>
          <w:sz w:val="28"/>
          <w:szCs w:val="28"/>
        </w:rPr>
        <w:t>踏勘现场</w:t>
      </w:r>
      <w:bookmarkEnd w:id="26"/>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1.9.1招标人不组织投标人踏勘现场，投标人可以自行对工程施工现场和周围环境进行勘察，以获取编制投标文件和签署合同所需的所有资料。</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1.9.2 投标人踏勘现场发生的费用自理。</w:t>
      </w:r>
    </w:p>
    <w:p>
      <w:pPr>
        <w:autoSpaceDE w:val="0"/>
        <w:autoSpaceDN w:val="0"/>
        <w:adjustRightInd w:val="0"/>
        <w:spacing w:line="380" w:lineRule="exact"/>
        <w:ind w:firstLine="388" w:firstLineChars="200"/>
        <w:jc w:val="left"/>
        <w:rPr>
          <w:rFonts w:ascii="Calibri" w:hAnsi="Calibri" w:eastAsia="宋体" w:cs="Calibri"/>
          <w:spacing w:val="-8"/>
          <w:kern w:val="0"/>
          <w:szCs w:val="21"/>
        </w:rPr>
      </w:pPr>
      <w:r>
        <w:rPr>
          <w:rFonts w:hint="eastAsia" w:ascii="Calibri" w:hAnsi="Calibri" w:eastAsia="宋体" w:cs="Calibri"/>
          <w:spacing w:val="-8"/>
          <w:kern w:val="0"/>
          <w:szCs w:val="21"/>
        </w:rPr>
        <w:t>1.</w:t>
      </w:r>
      <w:r>
        <w:rPr>
          <w:rFonts w:hint="eastAsia" w:ascii="Calibri" w:hAnsi="Calibri" w:eastAsia="宋体" w:cs="Calibri"/>
          <w:kern w:val="0"/>
          <w:szCs w:val="21"/>
        </w:rPr>
        <w:t>9.3 投标人自行负责在踏勘现场中所发生的人员伤亡和财产损失。</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1.9.4 招标人向投标人提供的有关施工现场的资料和数据是招标人现有的能使投标人利用的资料。招标人对投标人由此而做出的推论、理解和结论概不负责。</w:t>
      </w:r>
      <w:bookmarkStart w:id="27" w:name="_Toc397975253"/>
    </w:p>
    <w:p>
      <w:pPr>
        <w:spacing w:line="380" w:lineRule="exact"/>
        <w:outlineLvl w:val="2"/>
        <w:rPr>
          <w:rFonts w:ascii="Calibri" w:hAnsi="Calibri" w:eastAsia="Calibri" w:cs="Times New Roman"/>
          <w:b/>
          <w:bCs/>
          <w:sz w:val="28"/>
          <w:szCs w:val="28"/>
        </w:rPr>
      </w:pPr>
      <w:r>
        <w:rPr>
          <w:rFonts w:hint="eastAsia" w:ascii="Calibri" w:hAnsi="Calibri" w:eastAsia="Calibri" w:cs="Times New Roman"/>
          <w:b/>
          <w:bCs/>
          <w:sz w:val="28"/>
          <w:szCs w:val="28"/>
        </w:rPr>
        <w:t xml:space="preserve">1.10 </w:t>
      </w:r>
      <w:r>
        <w:rPr>
          <w:rFonts w:hint="eastAsia" w:ascii="宋体" w:hAnsi="宋体" w:eastAsia="宋体" w:cs="宋体"/>
          <w:b/>
          <w:bCs/>
          <w:sz w:val="28"/>
          <w:szCs w:val="28"/>
        </w:rPr>
        <w:t>投标预备会</w:t>
      </w:r>
      <w:bookmarkEnd w:id="27"/>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1.10.1 召开投标预备会：见投标人须知前附表。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1.10.2招标人在投标人须知前附表规定的时间内，将对投标人所提问题的澄清。该澄清内容为招标文件的组成部分。</w:t>
      </w:r>
    </w:p>
    <w:p>
      <w:pPr>
        <w:spacing w:line="380" w:lineRule="exact"/>
        <w:outlineLvl w:val="2"/>
        <w:rPr>
          <w:rFonts w:ascii="Calibri" w:hAnsi="Calibri" w:eastAsia="Calibri" w:cs="Times New Roman"/>
          <w:b/>
          <w:bCs/>
          <w:sz w:val="28"/>
          <w:szCs w:val="28"/>
        </w:rPr>
      </w:pPr>
      <w:bookmarkStart w:id="28" w:name="_Toc366679673"/>
      <w:bookmarkStart w:id="29" w:name="_Toc397975254"/>
      <w:bookmarkStart w:id="30" w:name="_Toc363329371"/>
      <w:bookmarkStart w:id="31" w:name="_Toc367894799"/>
      <w:r>
        <w:rPr>
          <w:rFonts w:ascii="Calibri" w:hAnsi="Calibri" w:eastAsia="Calibri" w:cs="Times New Roman"/>
          <w:b/>
          <w:bCs/>
          <w:sz w:val="28"/>
          <w:szCs w:val="28"/>
        </w:rPr>
        <w:t xml:space="preserve">1.11 </w:t>
      </w:r>
      <w:r>
        <w:rPr>
          <w:rFonts w:hint="eastAsia" w:ascii="宋体" w:hAnsi="宋体" w:eastAsia="宋体" w:cs="宋体"/>
          <w:b/>
          <w:bCs/>
          <w:sz w:val="28"/>
          <w:szCs w:val="28"/>
        </w:rPr>
        <w:t>偏离</w:t>
      </w:r>
      <w:bookmarkEnd w:id="28"/>
      <w:bookmarkEnd w:id="29"/>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投标人须知前附表允许投标文件偏离招标文件某些要求的，偏离应当符合招标文件规定的偏离范围和幅度。</w:t>
      </w:r>
    </w:p>
    <w:p>
      <w:pPr>
        <w:spacing w:line="380" w:lineRule="exact"/>
        <w:jc w:val="left"/>
        <w:outlineLvl w:val="1"/>
        <w:rPr>
          <w:rFonts w:ascii="Calibri" w:hAnsi="Calibri" w:eastAsia="Calibri" w:cs="Times New Roman"/>
          <w:b/>
          <w:kern w:val="0"/>
          <w:sz w:val="28"/>
          <w:szCs w:val="28"/>
        </w:rPr>
      </w:pPr>
      <w:bookmarkStart w:id="32" w:name="_Toc368759376"/>
      <w:bookmarkStart w:id="33" w:name="_Toc368760428"/>
      <w:bookmarkStart w:id="34" w:name="_Toc397975255"/>
      <w:bookmarkStart w:id="35" w:name="_Toc369077562"/>
      <w:r>
        <w:rPr>
          <w:rFonts w:hint="eastAsia" w:ascii="Calibri" w:hAnsi="Calibri" w:eastAsia="宋体" w:cs="Times New Roman"/>
          <w:b/>
          <w:kern w:val="0"/>
          <w:sz w:val="28"/>
          <w:szCs w:val="28"/>
        </w:rPr>
        <w:t>2</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招标文件</w:t>
      </w:r>
      <w:bookmarkEnd w:id="30"/>
      <w:bookmarkEnd w:id="31"/>
      <w:bookmarkEnd w:id="32"/>
      <w:bookmarkEnd w:id="33"/>
      <w:bookmarkEnd w:id="34"/>
      <w:bookmarkEnd w:id="35"/>
    </w:p>
    <w:p>
      <w:pPr>
        <w:spacing w:line="380" w:lineRule="exact"/>
        <w:outlineLvl w:val="2"/>
        <w:rPr>
          <w:rFonts w:ascii="Calibri" w:hAnsi="Calibri" w:eastAsia="Calibri" w:cs="Times New Roman"/>
          <w:b/>
          <w:bCs/>
          <w:sz w:val="28"/>
          <w:szCs w:val="28"/>
        </w:rPr>
      </w:pPr>
      <w:bookmarkStart w:id="36" w:name="_Toc397975256"/>
      <w:r>
        <w:rPr>
          <w:rFonts w:hint="eastAsia" w:ascii="Calibri" w:hAnsi="Calibri" w:eastAsia="宋体" w:cs="Times New Roman"/>
          <w:b/>
          <w:bCs/>
          <w:sz w:val="28"/>
          <w:szCs w:val="28"/>
        </w:rPr>
        <w:t>2</w:t>
      </w:r>
      <w:r>
        <w:rPr>
          <w:rFonts w:ascii="Calibri" w:hAnsi="Calibri" w:eastAsia="Calibri" w:cs="Times New Roman"/>
          <w:b/>
          <w:bCs/>
          <w:sz w:val="28"/>
          <w:szCs w:val="28"/>
        </w:rPr>
        <w:t>.1</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招标文件组成</w:t>
      </w:r>
      <w:bookmarkEnd w:id="36"/>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.1.1 本招标文件包括：</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（1）招标公告；</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投标人须知；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评标办法；</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 xml:space="preserve">合同条款及格式；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（5）项目</w:t>
      </w:r>
      <w:r>
        <w:rPr>
          <w:rFonts w:ascii="Calibri" w:hAnsi="Calibri" w:eastAsia="宋体" w:cs="Times New Roman"/>
          <w:szCs w:val="21"/>
        </w:rPr>
        <w:t>需求；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投标文件格式；</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根据本章第1.10款、第2.2款和第2.3款对招标文件所作的澄清、修改，构成招标文件的组成部分。当招标文件相互之间发生矛盾时，以后发出的文件为准。</w:t>
      </w:r>
      <w:bookmarkStart w:id="37" w:name="_Toc247085703"/>
      <w:bookmarkStart w:id="38" w:name="_Toc152042320"/>
      <w:bookmarkStart w:id="39" w:name="_Toc152045544"/>
      <w:bookmarkStart w:id="40" w:name="_Toc366679676"/>
      <w:bookmarkStart w:id="41" w:name="_Toc246996932"/>
      <w:bookmarkStart w:id="42" w:name="_Toc397975257"/>
      <w:bookmarkStart w:id="43" w:name="_Toc179632562"/>
      <w:bookmarkStart w:id="44" w:name="_Toc144974512"/>
      <w:bookmarkStart w:id="45" w:name="_Toc246996189"/>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2</w:t>
      </w:r>
      <w:r>
        <w:rPr>
          <w:rFonts w:ascii="Calibri" w:hAnsi="Calibri" w:eastAsia="Calibri" w:cs="Times New Roman"/>
          <w:b/>
          <w:bCs/>
          <w:sz w:val="28"/>
          <w:szCs w:val="28"/>
        </w:rPr>
        <w:t xml:space="preserve">.2 </w:t>
      </w:r>
      <w:r>
        <w:rPr>
          <w:rFonts w:hint="eastAsia" w:ascii="宋体" w:hAnsi="宋体" w:eastAsia="宋体" w:cs="宋体"/>
          <w:b/>
          <w:bCs/>
          <w:sz w:val="28"/>
          <w:szCs w:val="28"/>
        </w:rPr>
        <w:t>招标文件的澄清</w:t>
      </w:r>
      <w:bookmarkEnd w:id="37"/>
      <w:bookmarkEnd w:id="38"/>
      <w:bookmarkEnd w:id="39"/>
      <w:bookmarkEnd w:id="40"/>
      <w:bookmarkEnd w:id="41"/>
      <w:bookmarkEnd w:id="42"/>
      <w:bookmarkEnd w:id="43"/>
      <w:bookmarkEnd w:id="44"/>
      <w:bookmarkEnd w:id="45"/>
      <w:r>
        <w:rPr>
          <w:rFonts w:ascii="Calibri" w:hAnsi="Calibri" w:eastAsia="Calibri" w:cs="Times New Roman"/>
          <w:b/>
          <w:bCs/>
          <w:sz w:val="28"/>
          <w:szCs w:val="28"/>
        </w:rPr>
        <w:t xml:space="preserve"> </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2.2.1投标人应仔细阅读和检查招标文件的全部内容。</w:t>
      </w:r>
      <w:r>
        <w:rPr>
          <w:rFonts w:hint="eastAsia" w:ascii="Calibri" w:hAnsi="Calibri" w:eastAsia="宋体" w:cs="Calibri"/>
          <w:szCs w:val="21"/>
        </w:rPr>
        <w:t>投标人如有疑问，应在投标人须知前附表规定的时间，</w:t>
      </w:r>
      <w:r>
        <w:rPr>
          <w:rFonts w:hint="eastAsia" w:ascii="Calibri" w:hAnsi="Calibri" w:eastAsia="宋体" w:cs="Times New Roman"/>
          <w:szCs w:val="21"/>
        </w:rPr>
        <w:t>要求招标人对招标文件予以澄清。投标人不在澄清期限内提出，招标人有权不予答复。</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2.2.2招标文件的澄清将在投标人须知前附表规定时间前通过“电子招标投标交易平台”发给所有投标人，但招标人不指明澄清问题的来源，招标人不再另行通知。</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2.2.3澄清文件按本章第2.2.2款规定发出之时起，视为投标人已收到该澄清文件。投标人未及时通过“电子招标投标交易平台”查阅招标文件的澄</w:t>
      </w:r>
      <w:r>
        <w:rPr>
          <w:rFonts w:hint="eastAsia" w:ascii="Calibri" w:hAnsi="Calibri" w:eastAsia="宋体" w:cs="Calibri"/>
          <w:szCs w:val="21"/>
        </w:rPr>
        <w:t>清，或未按照澄清后的招标文件编制投标文件，由此造成的后果由投标人自行承担。</w:t>
      </w:r>
    </w:p>
    <w:p>
      <w:pPr>
        <w:spacing w:line="380" w:lineRule="exact"/>
        <w:outlineLvl w:val="2"/>
        <w:rPr>
          <w:rFonts w:ascii="Calibri" w:hAnsi="Calibri" w:eastAsia="Calibri" w:cs="Times New Roman"/>
          <w:b/>
          <w:bCs/>
          <w:sz w:val="28"/>
          <w:szCs w:val="28"/>
        </w:rPr>
      </w:pPr>
      <w:bookmarkStart w:id="46" w:name="_Toc397975258"/>
      <w:bookmarkStart w:id="47" w:name="_Toc366679677"/>
      <w:bookmarkStart w:id="48" w:name="_Toc246996933"/>
      <w:bookmarkStart w:id="49" w:name="_Toc246996190"/>
      <w:bookmarkStart w:id="50" w:name="_Toc179632563"/>
      <w:bookmarkStart w:id="51" w:name="_Toc247085704"/>
      <w:r>
        <w:rPr>
          <w:rFonts w:hint="eastAsia" w:ascii="Calibri" w:hAnsi="Calibri" w:eastAsia="宋体" w:cs="Times New Roman"/>
          <w:b/>
          <w:bCs/>
          <w:sz w:val="28"/>
          <w:szCs w:val="28"/>
        </w:rPr>
        <w:t>2</w:t>
      </w:r>
      <w:r>
        <w:rPr>
          <w:rFonts w:ascii="Calibri" w:hAnsi="Calibri" w:eastAsia="Calibri" w:cs="Times New Roman"/>
          <w:b/>
          <w:bCs/>
          <w:sz w:val="28"/>
          <w:szCs w:val="28"/>
        </w:rPr>
        <w:t xml:space="preserve">.3 </w:t>
      </w:r>
      <w:r>
        <w:rPr>
          <w:rFonts w:hint="eastAsia" w:ascii="宋体" w:hAnsi="宋体" w:eastAsia="宋体" w:cs="宋体"/>
          <w:b/>
          <w:bCs/>
          <w:sz w:val="28"/>
          <w:szCs w:val="28"/>
        </w:rPr>
        <w:t>招标文件的修改</w:t>
      </w:r>
      <w:bookmarkEnd w:id="46"/>
      <w:bookmarkEnd w:id="47"/>
      <w:bookmarkEnd w:id="48"/>
      <w:bookmarkEnd w:id="49"/>
      <w:bookmarkEnd w:id="50"/>
      <w:bookmarkEnd w:id="51"/>
    </w:p>
    <w:p>
      <w:pPr>
        <w:shd w:val="clear" w:color="auto" w:fill="FFFFFF"/>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2.3.1 </w:t>
      </w:r>
      <w:r>
        <w:rPr>
          <w:rFonts w:hint="eastAsia" w:ascii="Calibri" w:hAnsi="Calibri" w:eastAsia="宋体" w:cs="Calibri"/>
          <w:szCs w:val="21"/>
        </w:rPr>
        <w:t>招标文件发布后，招标人确需对招标文件进行修改的，招标人将</w:t>
      </w:r>
      <w:r>
        <w:rPr>
          <w:rFonts w:hint="eastAsia" w:ascii="Calibri" w:hAnsi="Calibri" w:eastAsia="宋体" w:cs="Calibri"/>
          <w:kern w:val="0"/>
          <w:szCs w:val="21"/>
        </w:rPr>
        <w:t>通过</w:t>
      </w:r>
      <w:r>
        <w:rPr>
          <w:rFonts w:hint="eastAsia" w:ascii="Calibri" w:hAnsi="Calibri" w:eastAsia="宋体" w:cs="Calibri"/>
          <w:szCs w:val="21"/>
        </w:rPr>
        <w:t>“电子招标投标交易平台”发给所有投标人。</w:t>
      </w:r>
    </w:p>
    <w:p>
      <w:pPr>
        <w:shd w:val="clear" w:color="auto" w:fill="FFFFFF"/>
        <w:autoSpaceDE w:val="0"/>
        <w:autoSpaceDN w:val="0"/>
        <w:adjustRightInd w:val="0"/>
        <w:spacing w:line="380" w:lineRule="exact"/>
        <w:ind w:firstLine="420" w:firstLineChars="200"/>
        <w:jc w:val="left"/>
        <w:rPr>
          <w:rFonts w:ascii="Calibri" w:hAnsi="Calibri" w:eastAsia="宋体" w:cs="Calibri"/>
          <w:szCs w:val="21"/>
        </w:rPr>
      </w:pPr>
      <w:r>
        <w:rPr>
          <w:rFonts w:hint="eastAsia" w:ascii="Calibri" w:hAnsi="Calibri" w:eastAsia="宋体" w:cs="Times New Roman"/>
          <w:szCs w:val="21"/>
        </w:rPr>
        <w:t>2.3.2</w:t>
      </w:r>
      <w:bookmarkStart w:id="52" w:name="_Toc367894800"/>
      <w:bookmarkStart w:id="53" w:name="_Toc369077563"/>
      <w:bookmarkStart w:id="54" w:name="_Toc368759377"/>
      <w:bookmarkStart w:id="55" w:name="_Toc363329372"/>
      <w:bookmarkStart w:id="56" w:name="_Toc368760429"/>
      <w:bookmarkStart w:id="57" w:name="_Toc397975259"/>
      <w:bookmarkStart w:id="58" w:name="_Toc119718089"/>
      <w:r>
        <w:rPr>
          <w:rFonts w:hint="eastAsia" w:ascii="Calibri" w:hAnsi="Calibri" w:eastAsia="宋体" w:cs="Times New Roman"/>
          <w:szCs w:val="21"/>
        </w:rPr>
        <w:t xml:space="preserve"> </w:t>
      </w:r>
      <w:r>
        <w:rPr>
          <w:rFonts w:hint="eastAsia" w:ascii="Calibri" w:hAnsi="Calibri" w:eastAsia="宋体" w:cs="Calibri"/>
          <w:szCs w:val="21"/>
        </w:rPr>
        <w:t>修改文件按本章第2.3.1款规定发出之时起，视为投标人已收到该修改文件。投标人未及时通过“电子招标投标交易平台”查阅招标文件的修改，或未按照修改后的招标文件编制投标文件，由此造成的后果由投标人自行承担。</w:t>
      </w:r>
    </w:p>
    <w:p>
      <w:pPr>
        <w:shd w:val="clear" w:color="auto" w:fill="FFFFFF"/>
        <w:autoSpaceDE w:val="0"/>
        <w:autoSpaceDN w:val="0"/>
        <w:adjustRightInd w:val="0"/>
        <w:spacing w:line="380" w:lineRule="exact"/>
        <w:jc w:val="left"/>
        <w:rPr>
          <w:rFonts w:ascii="Calibri" w:hAnsi="Calibri" w:eastAsia="宋体" w:cs="Times New Roman"/>
          <w:b/>
          <w:sz w:val="28"/>
          <w:szCs w:val="28"/>
        </w:rPr>
      </w:pPr>
      <w:r>
        <w:rPr>
          <w:rFonts w:hint="eastAsia" w:ascii="Calibri" w:hAnsi="Calibri" w:eastAsia="宋体" w:cs="Times New Roman"/>
          <w:b/>
          <w:sz w:val="28"/>
          <w:szCs w:val="28"/>
        </w:rPr>
        <w:t>3</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投标文件</w:t>
      </w:r>
      <w:bookmarkEnd w:id="52"/>
      <w:bookmarkEnd w:id="53"/>
      <w:bookmarkEnd w:id="54"/>
      <w:bookmarkEnd w:id="55"/>
      <w:bookmarkEnd w:id="56"/>
      <w:bookmarkEnd w:id="57"/>
    </w:p>
    <w:p>
      <w:pPr>
        <w:spacing w:line="380" w:lineRule="exact"/>
        <w:outlineLvl w:val="2"/>
        <w:rPr>
          <w:rFonts w:ascii="Calibri" w:hAnsi="Calibri" w:eastAsia="Calibri" w:cs="Times New Roman"/>
          <w:b/>
          <w:bCs/>
          <w:sz w:val="28"/>
          <w:szCs w:val="28"/>
        </w:rPr>
      </w:pPr>
      <w:bookmarkStart w:id="59" w:name="_Toc397975260"/>
      <w:r>
        <w:rPr>
          <w:rFonts w:hint="eastAsia" w:ascii="Calibri" w:hAnsi="Calibri" w:eastAsia="宋体" w:cs="Times New Roman"/>
          <w:b/>
          <w:bCs/>
          <w:sz w:val="28"/>
          <w:szCs w:val="28"/>
        </w:rPr>
        <w:t>3</w:t>
      </w:r>
      <w:r>
        <w:rPr>
          <w:rFonts w:ascii="Calibri" w:hAnsi="Calibri" w:eastAsia="Calibri" w:cs="Times New Roman"/>
          <w:b/>
          <w:bCs/>
          <w:sz w:val="28"/>
          <w:szCs w:val="28"/>
        </w:rPr>
        <w:t xml:space="preserve">.1 </w:t>
      </w:r>
      <w:r>
        <w:rPr>
          <w:rFonts w:hint="eastAsia" w:ascii="宋体" w:hAnsi="宋体" w:eastAsia="宋体" w:cs="宋体"/>
          <w:b/>
          <w:bCs/>
          <w:sz w:val="28"/>
          <w:szCs w:val="28"/>
        </w:rPr>
        <w:t>投标文件</w:t>
      </w:r>
      <w:bookmarkEnd w:id="58"/>
      <w:r>
        <w:rPr>
          <w:rFonts w:hint="eastAsia" w:ascii="宋体" w:hAnsi="宋体" w:eastAsia="宋体" w:cs="宋体"/>
          <w:b/>
          <w:bCs/>
          <w:sz w:val="28"/>
          <w:szCs w:val="28"/>
        </w:rPr>
        <w:t>的组成</w:t>
      </w:r>
      <w:bookmarkEnd w:id="59"/>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3.1.1 投标文件的组成：见“投标人须知前附表”。</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3.1.2 招标文件“投标文件格式”提供相关证明材料作为附件的，投标人应按要求在电子化投标文件中上传相应证明材料，否则不予认可。</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3.1.3 投标人应按“投标人须知前附表”的规定提供相关证明材料的原件，原件必须扫描添加至电子投标文件，开标现场无须提供原件核验。</w:t>
      </w:r>
    </w:p>
    <w:p>
      <w:pPr>
        <w:spacing w:line="380" w:lineRule="exact"/>
        <w:outlineLvl w:val="2"/>
        <w:rPr>
          <w:rFonts w:ascii="Calibri" w:hAnsi="Calibri" w:eastAsia="Calibri" w:cs="Times New Roman"/>
          <w:b/>
          <w:bCs/>
          <w:sz w:val="28"/>
          <w:szCs w:val="28"/>
        </w:rPr>
      </w:pPr>
      <w:bookmarkStart w:id="60" w:name="_Toc397975261"/>
      <w:r>
        <w:rPr>
          <w:rFonts w:hint="eastAsia" w:ascii="Calibri" w:hAnsi="Calibri" w:eastAsia="宋体" w:cs="Times New Roman"/>
          <w:b/>
          <w:bCs/>
          <w:sz w:val="28"/>
          <w:szCs w:val="28"/>
        </w:rPr>
        <w:t>3</w:t>
      </w:r>
      <w:r>
        <w:rPr>
          <w:rFonts w:ascii="Calibri" w:hAnsi="Calibri" w:eastAsia="Calibri" w:cs="Times New Roman"/>
          <w:b/>
          <w:bCs/>
          <w:sz w:val="28"/>
          <w:szCs w:val="28"/>
        </w:rPr>
        <w:t xml:space="preserve">.2 </w:t>
      </w:r>
      <w:r>
        <w:rPr>
          <w:rFonts w:hint="eastAsia" w:ascii="宋体" w:hAnsi="宋体" w:eastAsia="宋体" w:cs="宋体"/>
          <w:b/>
          <w:bCs/>
          <w:sz w:val="28"/>
          <w:szCs w:val="28"/>
        </w:rPr>
        <w:t>投标报价</w:t>
      </w:r>
      <w:bookmarkEnd w:id="60"/>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.2.1</w:t>
      </w:r>
      <w:r>
        <w:rPr>
          <w:rFonts w:hint="eastAsia" w:ascii="Calibri" w:hAnsi="Calibri" w:eastAsia="宋体" w:cs="Times New Roman"/>
          <w:szCs w:val="21"/>
        </w:rPr>
        <w:t>投标报价应包含本招标文件中的全部内容所需的</w:t>
      </w:r>
      <w:r>
        <w:rPr>
          <w:rFonts w:hint="eastAsia" w:ascii="宋体" w:hAnsi="宋体" w:eastAsia="宋体" w:cs="宋体"/>
          <w:szCs w:val="21"/>
        </w:rPr>
        <w:t>所有材料费、安装费、运输费、包装费、保险费、调试费、售后服务费、管理费、税金、</w:t>
      </w:r>
      <w:r>
        <w:rPr>
          <w:rFonts w:hint="eastAsia" w:ascii="Calibri" w:hAnsi="Calibri" w:eastAsia="宋体" w:cs="Times New Roman"/>
          <w:szCs w:val="21"/>
        </w:rPr>
        <w:t>安全文明施工措施费及</w:t>
      </w:r>
      <w:r>
        <w:rPr>
          <w:rFonts w:hint="eastAsia" w:ascii="宋体" w:hAnsi="宋体" w:eastAsia="宋体" w:cs="宋体"/>
          <w:szCs w:val="21"/>
        </w:rPr>
        <w:t>综合费用等</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.2.2招标人设有</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的，投标人的</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不得超过</w:t>
      </w:r>
      <w:r>
        <w:rPr>
          <w:rFonts w:hint="eastAsia" w:ascii="Calibri" w:hAnsi="Calibri" w:eastAsia="宋体" w:cs="Times New Roman"/>
          <w:szCs w:val="21"/>
        </w:rPr>
        <w:t>招标控制价（</w:t>
      </w:r>
      <w:r>
        <w:rPr>
          <w:rFonts w:ascii="Calibri" w:hAnsi="Calibri" w:eastAsia="宋体" w:cs="Times New Roman"/>
          <w:szCs w:val="21"/>
        </w:rPr>
        <w:t>最高投标限价</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否则作废标处理</w:t>
      </w:r>
      <w:r>
        <w:rPr>
          <w:rFonts w:ascii="Calibri" w:hAnsi="Calibri" w:eastAsia="宋体" w:cs="Times New Roman"/>
          <w:szCs w:val="21"/>
        </w:rPr>
        <w:t>。</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3.2.3 投标报价的编制要求</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(1)投标人应根据本项目图纸、现行技术规范、现场条件等自主报价。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(2)投标人只允许有一个报价，招标人不接受任何有选择的报价。</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(3)所有投标报价以人民币表示。</w:t>
      </w:r>
    </w:p>
    <w:p>
      <w:pPr>
        <w:autoSpaceDE w:val="0"/>
        <w:autoSpaceDN w:val="0"/>
        <w:adjustRightInd w:val="0"/>
        <w:spacing w:line="380" w:lineRule="exact"/>
        <w:ind w:firstLine="420" w:firstLineChars="200"/>
        <w:jc w:val="left"/>
        <w:rPr>
          <w:rFonts w:ascii="Calibri" w:hAnsi="Calibri" w:eastAsia="宋体" w:cs="Calibri"/>
          <w:kern w:val="0"/>
          <w:szCs w:val="21"/>
        </w:rPr>
      </w:pPr>
      <w:r>
        <w:rPr>
          <w:rFonts w:hint="eastAsia" w:ascii="Calibri" w:hAnsi="Calibri" w:eastAsia="宋体" w:cs="Calibri"/>
          <w:kern w:val="0"/>
          <w:szCs w:val="21"/>
        </w:rPr>
        <w:t>(4)技术规范要求的安装、校准、调试和培训的费用应包括在投标报价中。</w:t>
      </w:r>
    </w:p>
    <w:p>
      <w:pPr>
        <w:spacing w:line="380" w:lineRule="exact"/>
        <w:outlineLvl w:val="2"/>
        <w:rPr>
          <w:rFonts w:ascii="Calibri" w:hAnsi="Calibri" w:eastAsia="Calibri" w:cs="Times New Roman"/>
          <w:b/>
          <w:bCs/>
          <w:sz w:val="28"/>
          <w:szCs w:val="28"/>
        </w:rPr>
      </w:pPr>
      <w:bookmarkStart w:id="61" w:name="_Toc397975262"/>
      <w:r>
        <w:rPr>
          <w:rFonts w:hint="eastAsia" w:ascii="Calibri" w:hAnsi="Calibri" w:eastAsia="宋体" w:cs="Times New Roman"/>
          <w:b/>
          <w:bCs/>
          <w:sz w:val="28"/>
          <w:szCs w:val="28"/>
        </w:rPr>
        <w:t>3</w:t>
      </w:r>
      <w:r>
        <w:rPr>
          <w:rFonts w:ascii="Calibri" w:hAnsi="Calibri" w:eastAsia="Calibri" w:cs="Times New Roman"/>
          <w:b/>
          <w:bCs/>
          <w:sz w:val="28"/>
          <w:szCs w:val="28"/>
        </w:rPr>
        <w:t xml:space="preserve">.3 </w:t>
      </w:r>
      <w:r>
        <w:rPr>
          <w:rFonts w:hint="eastAsia" w:ascii="宋体" w:hAnsi="宋体" w:eastAsia="宋体" w:cs="宋体"/>
          <w:b/>
          <w:bCs/>
          <w:sz w:val="28"/>
          <w:szCs w:val="28"/>
        </w:rPr>
        <w:t>投标有效期</w:t>
      </w:r>
      <w:bookmarkEnd w:id="61"/>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.3.1 在投标人须知前附表规定的投标有效期内，投标人不得要求撤销或修改其投标文件。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 xml:space="preserve">.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380" w:lineRule="exact"/>
        <w:outlineLvl w:val="2"/>
        <w:rPr>
          <w:rFonts w:ascii="Calibri" w:hAnsi="Calibri" w:eastAsia="Calibri" w:cs="Times New Roman"/>
          <w:b/>
          <w:bCs/>
          <w:sz w:val="28"/>
          <w:szCs w:val="28"/>
        </w:rPr>
      </w:pPr>
      <w:bookmarkStart w:id="62" w:name="_Toc397975263"/>
      <w:r>
        <w:rPr>
          <w:rFonts w:hint="eastAsia" w:ascii="Calibri" w:hAnsi="Calibri" w:eastAsia="宋体" w:cs="Times New Roman"/>
          <w:b/>
          <w:bCs/>
          <w:sz w:val="28"/>
          <w:szCs w:val="28"/>
        </w:rPr>
        <w:t>3</w:t>
      </w:r>
      <w:r>
        <w:rPr>
          <w:rFonts w:ascii="Calibri" w:hAnsi="Calibri" w:eastAsia="Calibri" w:cs="Times New Roman"/>
          <w:b/>
          <w:bCs/>
          <w:sz w:val="28"/>
          <w:szCs w:val="28"/>
        </w:rPr>
        <w:t xml:space="preserve">.4 </w:t>
      </w:r>
      <w:r>
        <w:rPr>
          <w:rFonts w:hint="eastAsia" w:ascii="宋体" w:hAnsi="宋体" w:eastAsia="宋体" w:cs="宋体"/>
          <w:b/>
          <w:bCs/>
          <w:sz w:val="28"/>
          <w:szCs w:val="28"/>
        </w:rPr>
        <w:t>投标保证金</w:t>
      </w:r>
      <w:bookmarkEnd w:id="62"/>
    </w:p>
    <w:p>
      <w:pPr>
        <w:autoSpaceDE w:val="0"/>
        <w:autoSpaceDN w:val="0"/>
        <w:adjustRightInd w:val="0"/>
        <w:spacing w:line="380" w:lineRule="exact"/>
        <w:ind w:firstLine="420" w:firstLineChars="200"/>
        <w:jc w:val="left"/>
        <w:rPr>
          <w:rFonts w:ascii="Calibri" w:hAnsi="Calibri" w:eastAsia="宋体" w:cs="Calibri"/>
          <w:kern w:val="0"/>
          <w:szCs w:val="21"/>
        </w:rPr>
      </w:pPr>
      <w:bookmarkStart w:id="63" w:name="_Toc152042328"/>
      <w:bookmarkStart w:id="64" w:name="_Toc246996196"/>
      <w:bookmarkStart w:id="65" w:name="_Toc152045552"/>
      <w:bookmarkStart w:id="66" w:name="_Toc247085710"/>
      <w:bookmarkStart w:id="67" w:name="_Toc144974520"/>
      <w:bookmarkStart w:id="68" w:name="_Toc366679683"/>
      <w:bookmarkStart w:id="69" w:name="_Toc179632570"/>
      <w:bookmarkStart w:id="70" w:name="_Toc246996939"/>
      <w:bookmarkStart w:id="71" w:name="_Toc397975264"/>
      <w:bookmarkStart w:id="72" w:name="_Toc324255909"/>
      <w:bookmarkStart w:id="73" w:name="_Toc339359765"/>
      <w:bookmarkStart w:id="74" w:name="_Toc269310939"/>
      <w:r>
        <w:rPr>
          <w:rFonts w:hint="eastAsia" w:ascii="Calibri" w:hAnsi="Calibri" w:eastAsia="宋体" w:cs="Calibri"/>
          <w:kern w:val="0"/>
          <w:szCs w:val="21"/>
        </w:rPr>
        <w:t>本项目无需缴纳投标保证金。</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.5 </w:t>
      </w:r>
      <w:bookmarkEnd w:id="63"/>
      <w:bookmarkEnd w:id="64"/>
      <w:bookmarkEnd w:id="65"/>
      <w:bookmarkEnd w:id="66"/>
      <w:bookmarkEnd w:id="67"/>
      <w:bookmarkEnd w:id="68"/>
      <w:bookmarkEnd w:id="69"/>
      <w:bookmarkEnd w:id="70"/>
      <w:r>
        <w:rPr>
          <w:rFonts w:hint="eastAsia" w:ascii="宋体" w:hAnsi="宋体" w:eastAsia="宋体" w:cs="宋体"/>
          <w:b/>
          <w:bCs/>
          <w:sz w:val="28"/>
          <w:szCs w:val="28"/>
        </w:rPr>
        <w:t>资格审查资料</w:t>
      </w:r>
      <w:bookmarkEnd w:id="71"/>
    </w:p>
    <w:p>
      <w:pPr>
        <w:spacing w:line="380" w:lineRule="exact"/>
        <w:ind w:firstLine="420" w:firstLineChars="200"/>
        <w:rPr>
          <w:rFonts w:ascii="Calibri" w:hAnsi="Calibri" w:eastAsia="宋体" w:cs="Times New Roman"/>
          <w:szCs w:val="21"/>
        </w:rPr>
      </w:pPr>
      <w:bookmarkStart w:id="75" w:name="_Toc397975265"/>
      <w:r>
        <w:rPr>
          <w:rFonts w:hint="eastAsia" w:ascii="Calibri" w:hAnsi="Calibri" w:eastAsia="宋体" w:cs="Times New Roman"/>
          <w:szCs w:val="21"/>
        </w:rPr>
        <w:t>3.5.1招标人对投标人的资格审查方式：资格后审。</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3.5.2投标申请人资格审查合格条件：</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（1）具有独立订立合同的能力；</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（2）未处于被责令停业、投标资格被取消或者财产被接管、冻结和破产状态；</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（3）企业没有因骗取中标或者严重违约以及发生重大工程质量、安全生产事故等问题，被有关部门暂停投标资格并在暂停期内；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（4）投标单位的资格满足招标公告要求；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（5）资格审查申请书中的重要内容没有失实或者弄虚作假；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（6）投标人提供社保部门出具的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02</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04</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w:t>
      </w:r>
      <w:r>
        <w:rPr>
          <w:rFonts w:ascii="Calibri" w:hAnsi="Calibri" w:eastAsia="宋体" w:cs="Times New Roman"/>
          <w:szCs w:val="21"/>
        </w:rPr>
        <w:t>具有良好的商业信誉和健全的财务会计制度；</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具有履行合同所必需的设备和专业技术能力</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（9）</w:t>
      </w:r>
      <w:r>
        <w:rPr>
          <w:rFonts w:ascii="Calibri" w:hAnsi="Calibri" w:eastAsia="宋体" w:cs="Times New Roman"/>
          <w:szCs w:val="21"/>
        </w:rPr>
        <w:t>有依法缴纳税收和社会保障资金的良好记录</w:t>
      </w:r>
      <w:r>
        <w:rPr>
          <w:rFonts w:hint="eastAsia" w:ascii="Calibri" w:hAnsi="Calibri" w:eastAsia="宋体" w:cs="Times New Roman"/>
          <w:szCs w:val="21"/>
        </w:rPr>
        <w:t>；</w:t>
      </w:r>
    </w:p>
    <w:p>
      <w:pPr>
        <w:spacing w:line="380" w:lineRule="exact"/>
        <w:ind w:firstLine="480"/>
        <w:rPr>
          <w:rFonts w:ascii="Calibri" w:hAnsi="Calibri" w:eastAsia="宋体" w:cs="Times New Roman"/>
          <w:szCs w:val="21"/>
        </w:rPr>
      </w:pPr>
      <w:r>
        <w:rPr>
          <w:rFonts w:hint="eastAsia" w:ascii="Calibri" w:hAnsi="Calibri" w:eastAsia="宋体" w:cs="Times New Roman"/>
          <w:szCs w:val="21"/>
        </w:rPr>
        <w:t>（10）</w:t>
      </w:r>
      <w:r>
        <w:rPr>
          <w:rFonts w:hint="eastAsia" w:ascii="宋体" w:hAnsi="宋体" w:eastAsia="宋体" w:cs="Times New Roman"/>
          <w:szCs w:val="21"/>
        </w:rPr>
        <w:t>未被“信用中国”网站（www.creditchina.gov.cn）、“中国政府采购网”(www.ccgp.gov.cn)列入失信被执行人、重大税收违法案件当事人名单、政府采购严重违法失信行为记录名单</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（11）符合法律、法规规定的其他条件。</w:t>
      </w:r>
    </w:p>
    <w:p>
      <w:pPr>
        <w:spacing w:line="380" w:lineRule="exact"/>
        <w:ind w:firstLine="210" w:firstLineChars="100"/>
        <w:rPr>
          <w:rFonts w:ascii="Calibri" w:hAnsi="Calibri" w:eastAsia="宋体" w:cs="Times New Roman"/>
          <w:szCs w:val="21"/>
        </w:rPr>
      </w:pPr>
      <w:r>
        <w:rPr>
          <w:rFonts w:hint="eastAsia" w:ascii="Calibri" w:hAnsi="Calibri" w:eastAsia="宋体" w:cs="Times New Roman"/>
          <w:szCs w:val="21"/>
        </w:rPr>
        <w:t>3.5.3投标申请人所提交的资格审查文件有下列情况之一的，将作为符合性检查未通过而不予评审：</w:t>
      </w:r>
    </w:p>
    <w:p>
      <w:pPr>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（1）未按招标文件规定的资格审查申请文件相应位置加盖法人公章，或没有法定代表人或其授权代理人印鉴或签字。</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（2）资格审查申请文件(不含申请人的附加说明、证明材料)未按规定的格式、内容和要求编制的，或字迹潦草、模糊无法辨认的。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（3）投标人资格不满足招标公告和招标文件要求的。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（4）投标人采用多种形式，对本项目递交二份或多份资格审查文件，并在递交投标文件截止时间时仍不加以说明的。</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（5）投标人未提供社保部门出具的</w:t>
      </w:r>
      <w:r>
        <w:rPr>
          <w:rFonts w:hint="eastAsia" w:ascii="宋体" w:hAnsi="宋体" w:eastAsia="宋体" w:cs="宋体"/>
          <w:szCs w:val="21"/>
        </w:rPr>
        <w:t>近3个月（</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02</w:t>
      </w:r>
      <w:r>
        <w:rPr>
          <w:rFonts w:hint="eastAsia" w:ascii="宋体" w:hAnsi="宋体" w:eastAsia="宋体" w:cs="宋体"/>
          <w:szCs w:val="21"/>
        </w:rPr>
        <w:t>月 至</w:t>
      </w:r>
      <w:r>
        <w:rPr>
          <w:rFonts w:hint="eastAsia" w:ascii="宋体" w:hAnsi="宋体" w:eastAsia="宋体" w:cs="宋体"/>
          <w:szCs w:val="21"/>
          <w:u w:val="single"/>
        </w:rPr>
        <w:t xml:space="preserve"> </w:t>
      </w:r>
      <w:r>
        <w:rPr>
          <w:rFonts w:hint="eastAsia" w:ascii="宋体" w:hAnsi="宋体" w:eastAsia="宋体" w:cs="宋体"/>
          <w:b/>
          <w:szCs w:val="21"/>
          <w:u w:val="single"/>
        </w:rPr>
        <w:t>2025</w:t>
      </w:r>
      <w:r>
        <w:rPr>
          <w:rFonts w:hint="eastAsia" w:ascii="宋体" w:hAnsi="宋体" w:eastAsia="宋体" w:cs="宋体"/>
          <w:szCs w:val="21"/>
        </w:rPr>
        <w:t>年</w:t>
      </w:r>
      <w:r>
        <w:rPr>
          <w:rFonts w:hint="eastAsia" w:ascii="宋体" w:hAnsi="宋体" w:eastAsia="宋体" w:cs="宋体"/>
          <w:b/>
          <w:bCs/>
          <w:szCs w:val="21"/>
          <w:u w:val="single"/>
        </w:rPr>
        <w:t xml:space="preserve"> 04</w:t>
      </w:r>
      <w:r>
        <w:rPr>
          <w:rFonts w:hint="eastAsia" w:ascii="宋体" w:hAnsi="宋体" w:eastAsia="宋体" w:cs="宋体"/>
          <w:szCs w:val="21"/>
        </w:rPr>
        <w:t>月）任意一个月</w:t>
      </w:r>
      <w:r>
        <w:rPr>
          <w:rFonts w:hint="eastAsia" w:ascii="Calibri" w:hAnsi="Calibri" w:eastAsia="宋体" w:cs="Times New Roman"/>
          <w:szCs w:val="21"/>
        </w:rPr>
        <w:t>为授权委托人缴纳在职职工养老保险的证明材料的（已取消书面证明采用网上自助查询方式的，如当地社保管理部门明确的最大查询期与招标文件规定的月份不一致时，须提供社保管理部门的文件规定）。</w:t>
      </w:r>
    </w:p>
    <w:p>
      <w:pPr>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（6）投标人未提交</w:t>
      </w:r>
      <w:r>
        <w:rPr>
          <w:rFonts w:hint="eastAsia" w:ascii="宋体" w:hAnsi="宋体" w:eastAsia="宋体" w:cs="宋体"/>
          <w:szCs w:val="21"/>
        </w:rPr>
        <w:t>具备履行合同所必需的设备和专业技术能力的书面声明</w:t>
      </w:r>
      <w:r>
        <w:rPr>
          <w:rFonts w:hint="eastAsia" w:ascii="Calibri" w:hAnsi="Calibri" w:eastAsia="宋体" w:cs="Times New Roman"/>
          <w:szCs w:val="21"/>
        </w:rPr>
        <w:t>。</w:t>
      </w:r>
    </w:p>
    <w:p>
      <w:pPr>
        <w:spacing w:line="380" w:lineRule="exact"/>
        <w:ind w:firstLine="420" w:firstLineChars="200"/>
        <w:jc w:val="left"/>
        <w:rPr>
          <w:rFonts w:ascii="Calibri" w:hAnsi="Calibri" w:eastAsia="宋体" w:cs="Times New Roman"/>
          <w:kern w:val="0"/>
          <w:szCs w:val="21"/>
        </w:rPr>
      </w:pPr>
      <w:r>
        <w:rPr>
          <w:rFonts w:hint="eastAsia" w:ascii="Calibri" w:hAnsi="Calibri" w:eastAsia="宋体" w:cs="Times New Roman"/>
          <w:szCs w:val="21"/>
        </w:rPr>
        <w:t>（7）投标人</w:t>
      </w:r>
      <w:r>
        <w:rPr>
          <w:rFonts w:hint="eastAsia" w:ascii="Calibri" w:hAnsi="Calibri" w:eastAsia="宋体" w:cs="Times New Roman"/>
          <w:kern w:val="0"/>
          <w:szCs w:val="21"/>
        </w:rPr>
        <w:t>未提交</w:t>
      </w:r>
      <w:r>
        <w:rPr>
          <w:rFonts w:hint="eastAsia" w:ascii="宋体" w:hAnsi="宋体" w:eastAsia="宋体" w:cs="宋体"/>
          <w:szCs w:val="21"/>
        </w:rPr>
        <w:t>2025年2月至2025年4月内任意一份依法纳税的缴款凭证（投标人依法享受缓缴、免缴的提供证明材料）</w:t>
      </w:r>
      <w:r>
        <w:rPr>
          <w:rFonts w:hint="eastAsia" w:ascii="Calibri" w:hAnsi="Calibri" w:eastAsia="宋体" w:cs="Times New Roman"/>
          <w:kern w:val="0"/>
          <w:szCs w:val="21"/>
        </w:rPr>
        <w:t>。</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（8）</w:t>
      </w:r>
      <w:r>
        <w:rPr>
          <w:rFonts w:hint="eastAsia" w:ascii="Calibri" w:hAnsi="Calibri" w:eastAsia="宋体" w:cs="Times New Roman"/>
          <w:szCs w:val="21"/>
        </w:rPr>
        <w:t>投标人</w:t>
      </w:r>
      <w:r>
        <w:rPr>
          <w:rFonts w:hint="eastAsia" w:ascii="Calibri" w:hAnsi="Calibri" w:eastAsia="宋体" w:cs="Times New Roman"/>
          <w:kern w:val="0"/>
          <w:szCs w:val="21"/>
        </w:rPr>
        <w:t>未提交</w:t>
      </w:r>
      <w:r>
        <w:rPr>
          <w:rFonts w:hint="eastAsia" w:ascii="宋体" w:hAnsi="宋体" w:eastAsia="宋体" w:cs="宋体"/>
          <w:szCs w:val="21"/>
        </w:rPr>
        <w:t>税务、银行或社会保险基金管理部门出具的2025年2月至2025年4月内任意一个月缴纳职工社会保障资金的缴款凭证或缴款证明（投标人依法享受缓缴、免缴的提供证明材料）。</w:t>
      </w:r>
    </w:p>
    <w:p>
      <w:pPr>
        <w:spacing w:line="380" w:lineRule="exact"/>
        <w:ind w:firstLine="420" w:firstLineChars="200"/>
        <w:jc w:val="left"/>
        <w:rPr>
          <w:rFonts w:ascii="宋体" w:hAnsi="宋体" w:eastAsia="宋体" w:cs="宋体"/>
          <w:szCs w:val="21"/>
        </w:rPr>
      </w:pPr>
      <w:r>
        <w:rPr>
          <w:rFonts w:hint="eastAsia" w:ascii="Calibri" w:hAnsi="Calibri" w:eastAsia="宋体" w:cs="Times New Roman"/>
          <w:kern w:val="0"/>
          <w:szCs w:val="21"/>
        </w:rPr>
        <w:t>（9）投标人未提交</w:t>
      </w:r>
      <w:r>
        <w:rPr>
          <w:rFonts w:hint="eastAsia" w:ascii="宋体" w:hAnsi="宋体" w:eastAsia="宋体" w:cs="宋体"/>
          <w:szCs w:val="21"/>
        </w:rPr>
        <w:t>2024年度的财务报告情况。</w:t>
      </w:r>
    </w:p>
    <w:p>
      <w:pPr>
        <w:spacing w:line="380" w:lineRule="exact"/>
        <w:ind w:firstLine="420" w:firstLineChars="200"/>
        <w:jc w:val="left"/>
        <w:rPr>
          <w:rFonts w:ascii="宋体" w:hAnsi="宋体" w:eastAsia="宋体" w:cs="宋体"/>
          <w:szCs w:val="21"/>
        </w:rPr>
      </w:pPr>
      <w:r>
        <w:rPr>
          <w:rFonts w:hint="eastAsia" w:ascii="宋体" w:hAnsi="宋体" w:eastAsia="宋体" w:cs="宋体"/>
          <w:szCs w:val="21"/>
        </w:rPr>
        <w:t>（10）</w:t>
      </w:r>
      <w:r>
        <w:rPr>
          <w:rFonts w:hint="eastAsia" w:ascii="Calibri" w:hAnsi="Calibri" w:eastAsia="宋体" w:cs="Times New Roman"/>
          <w:kern w:val="0"/>
          <w:szCs w:val="21"/>
        </w:rPr>
        <w:t>投标人未提交</w:t>
      </w:r>
      <w:r>
        <w:rPr>
          <w:rFonts w:hint="eastAsia" w:ascii="宋体" w:hAnsi="宋体" w:eastAsia="宋体" w:cs="宋体"/>
          <w:szCs w:val="21"/>
        </w:rPr>
        <w:t>有效期内合格的检验（检测）报告</w:t>
      </w:r>
    </w:p>
    <w:p>
      <w:pPr>
        <w:spacing w:after="120"/>
        <w:ind w:firstLine="420" w:firstLineChars="200"/>
        <w:rPr>
          <w:rFonts w:ascii="宋体" w:hAnsi="宋体" w:eastAsia="宋体" w:cs="宋体"/>
          <w:szCs w:val="21"/>
        </w:rPr>
      </w:pPr>
      <w:r>
        <w:rPr>
          <w:rFonts w:hint="eastAsia" w:ascii="宋体" w:hAnsi="宋体" w:eastAsia="宋体" w:cs="宋体"/>
          <w:szCs w:val="21"/>
        </w:rPr>
        <w:t>（11）</w:t>
      </w:r>
      <w:r>
        <w:rPr>
          <w:rFonts w:hint="eastAsia" w:ascii="Calibri" w:hAnsi="Calibri" w:eastAsia="宋体" w:cs="Times New Roman"/>
          <w:kern w:val="0"/>
          <w:szCs w:val="21"/>
        </w:rPr>
        <w:t>投标人未提交业绩证明材料</w:t>
      </w:r>
      <w:r>
        <w:rPr>
          <w:rFonts w:hint="eastAsia" w:ascii="宋体" w:hAnsi="宋体" w:eastAsia="宋体" w:cs="宋体"/>
          <w:szCs w:val="21"/>
        </w:rPr>
        <w:t>；</w:t>
      </w:r>
    </w:p>
    <w:p>
      <w:pPr>
        <w:spacing w:after="120"/>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（12）</w:t>
      </w:r>
      <w:r>
        <w:rPr>
          <w:rFonts w:hint="eastAsia" w:ascii="Calibri" w:hAnsi="Calibri" w:eastAsia="宋体" w:cs="Times New Roman"/>
          <w:kern w:val="0"/>
          <w:szCs w:val="21"/>
        </w:rPr>
        <w:t>投标人未提交</w:t>
      </w:r>
      <w:r>
        <w:rPr>
          <w:rFonts w:hint="eastAsia" w:ascii="宋体" w:hAnsi="宋体" w:eastAsia="宋体" w:cs="宋体"/>
          <w:szCs w:val="21"/>
        </w:rPr>
        <w:t>真实性承诺书。</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Times New Roman"/>
          <w:kern w:val="0"/>
          <w:szCs w:val="21"/>
        </w:rPr>
        <w:t>（13）投标人未在规定时间内完成电子招标投标交易平台交易系统网上登记。</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3.5.4本项目不允许转包和违法分包。</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3.5.5资格审查文件作为投标文件的一部分，应随同其他投标文件在规定时间上传。</w:t>
      </w:r>
    </w:p>
    <w:p>
      <w:pPr>
        <w:spacing w:line="380" w:lineRule="exact"/>
        <w:ind w:firstLine="422" w:firstLineChars="200"/>
        <w:rPr>
          <w:rFonts w:ascii="Calibri" w:hAnsi="Calibri" w:eastAsia="宋体" w:cs="Times New Roman"/>
          <w:b/>
          <w:szCs w:val="21"/>
        </w:rPr>
      </w:pPr>
      <w:r>
        <w:rPr>
          <w:rFonts w:hint="eastAsia" w:ascii="Calibri" w:hAnsi="Calibri" w:eastAsia="宋体" w:cs="Times New Roman"/>
          <w:b/>
          <w:szCs w:val="21"/>
        </w:rPr>
        <w:t>3.5.6资格审查文件应包含以下内容</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rPr>
        <w:t>（2025年2月-2025年4月）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ind w:firstLine="420" w:firstLineChars="20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Times New Roman" w:hAnsi="Times New Roman" w:eastAsia="宋体" w:cs="Times New Roman"/>
          <w:szCs w:val="20"/>
        </w:rPr>
      </w:pPr>
      <w:r>
        <w:rPr>
          <w:rFonts w:hint="eastAsia" w:ascii="宋体" w:hAnsi="宋体" w:eastAsia="宋体" w:cs="宋体"/>
          <w:szCs w:val="21"/>
        </w:rPr>
        <w:t>（9）</w:t>
      </w:r>
      <w:r>
        <w:rPr>
          <w:rFonts w:hint="eastAsia" w:ascii="宋体" w:hAnsi="Times New Roman" w:eastAsia="宋体" w:cs="宋体"/>
          <w:szCs w:val="21"/>
        </w:rPr>
        <w:t>提供 DE30、DDL220、DIB20 焊接钢管的有效期内合格的检验(检测)报告；</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（10）业绩</w:t>
      </w:r>
      <w:r>
        <w:rPr>
          <w:rFonts w:ascii="宋体" w:hAnsi="宋体" w:eastAsia="宋体" w:cs="宋体"/>
          <w:szCs w:val="21"/>
        </w:rPr>
        <w:t>证明材料（提供合同原件、发票原件、国家税务总局全国增值税发票查验平台查验截图）；</w:t>
      </w:r>
    </w:p>
    <w:p>
      <w:pPr>
        <w:spacing w:after="120"/>
        <w:ind w:firstLine="420" w:firstLineChars="200"/>
        <w:rPr>
          <w:rFonts w:ascii="Times New Roman" w:hAnsi="宋体" w:eastAsia="宋体" w:cs="宋体"/>
          <w:color w:val="000000"/>
          <w:szCs w:val="21"/>
        </w:rPr>
      </w:pPr>
      <w:r>
        <w:rPr>
          <w:rFonts w:hint="eastAsia" w:ascii="Times New Roman" w:hAnsi="Times New Roman" w:eastAsia="宋体" w:cs="Times New Roman"/>
          <w:szCs w:val="20"/>
        </w:rPr>
        <w:t>（11）</w:t>
      </w:r>
      <w:r>
        <w:rPr>
          <w:rFonts w:hint="eastAsia" w:ascii="宋体" w:hAnsi="宋体" w:eastAsia="宋体" w:cs="宋体"/>
          <w:szCs w:val="21"/>
        </w:rPr>
        <w:t>真实性承诺书；</w:t>
      </w:r>
    </w:p>
    <w:p>
      <w:pPr>
        <w:tabs>
          <w:tab w:val="left" w:pos="1300"/>
          <w:tab w:val="left" w:pos="1600"/>
        </w:tabs>
        <w:spacing w:line="380" w:lineRule="exact"/>
        <w:ind w:firstLine="420" w:firstLineChars="200"/>
        <w:rPr>
          <w:rFonts w:ascii="Calibri" w:hAnsi="Calibri" w:eastAsia="宋体" w:cs="Times New Roman"/>
          <w:szCs w:val="21"/>
        </w:rPr>
      </w:pPr>
      <w:r>
        <w:rPr>
          <w:rFonts w:hint="eastAsia" w:ascii="Times New Roman" w:hAnsi="宋体" w:eastAsia="宋体" w:cs="宋体"/>
          <w:color w:val="000000"/>
          <w:szCs w:val="21"/>
        </w:rPr>
        <w:t>（12）</w:t>
      </w:r>
      <w:r>
        <w:rPr>
          <w:rFonts w:hint="eastAsia" w:ascii="Calibri" w:hAnsi="Calibri" w:eastAsia="宋体" w:cs="Times New Roman"/>
          <w:szCs w:val="21"/>
        </w:rPr>
        <w:t>投标人认为其他需要提供的材料</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.6 </w:t>
      </w:r>
      <w:r>
        <w:rPr>
          <w:rFonts w:hint="eastAsia" w:ascii="宋体" w:hAnsi="宋体" w:eastAsia="宋体" w:cs="宋体"/>
          <w:b/>
          <w:bCs/>
          <w:sz w:val="28"/>
          <w:szCs w:val="28"/>
        </w:rPr>
        <w:t>备选投标方案</w:t>
      </w:r>
      <w:bookmarkEnd w:id="72"/>
      <w:bookmarkEnd w:id="73"/>
      <w:bookmarkEnd w:id="74"/>
      <w:bookmarkEnd w:id="75"/>
    </w:p>
    <w:p>
      <w:pPr>
        <w:spacing w:line="380" w:lineRule="exact"/>
        <w:ind w:firstLine="420"/>
        <w:rPr>
          <w:rFonts w:ascii="Calibri" w:hAnsi="Calibri" w:eastAsia="宋体" w:cs="Times New Roman"/>
          <w:szCs w:val="21"/>
        </w:rPr>
      </w:pPr>
      <w:r>
        <w:rPr>
          <w:rFonts w:ascii="Calibri" w:hAnsi="Calibri" w:eastAsia="宋体" w:cs="Times New Roman"/>
          <w:szCs w:val="21"/>
        </w:rPr>
        <w:t>除</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另有规定外，投标人不得提交备选投标方案。</w:t>
      </w:r>
    </w:p>
    <w:p>
      <w:pPr>
        <w:spacing w:line="380" w:lineRule="exact"/>
        <w:outlineLvl w:val="2"/>
        <w:rPr>
          <w:rFonts w:ascii="Calibri" w:hAnsi="Calibri" w:eastAsia="Calibri" w:cs="Times New Roman"/>
          <w:b/>
          <w:bCs/>
          <w:sz w:val="28"/>
          <w:szCs w:val="28"/>
        </w:rPr>
      </w:pPr>
      <w:bookmarkStart w:id="76" w:name="_Toc397975266"/>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.7 </w:t>
      </w:r>
      <w:r>
        <w:rPr>
          <w:rFonts w:hint="eastAsia" w:ascii="宋体" w:hAnsi="宋体" w:eastAsia="宋体" w:cs="宋体"/>
          <w:b/>
          <w:bCs/>
          <w:sz w:val="28"/>
          <w:szCs w:val="28"/>
        </w:rPr>
        <w:t>投标文件的编制</w:t>
      </w:r>
      <w:bookmarkEnd w:id="76"/>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4.7.1投标文件应按“投标文件格式”进行编写，</w:t>
      </w:r>
      <w:r>
        <w:rPr>
          <w:rFonts w:hint="eastAsia" w:ascii="Calibri" w:hAnsi="Calibri" w:eastAsia="宋体" w:cs="Calibri"/>
          <w:szCs w:val="21"/>
        </w:rPr>
        <w:t>如有必要可自行增加，作为投标文件的组成部分。</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4.7.2</w:t>
      </w:r>
      <w:r>
        <w:rPr>
          <w:rFonts w:hint="eastAsia" w:ascii="Calibri" w:hAnsi="Calibri" w:eastAsia="宋体" w:cs="Calibri"/>
          <w:szCs w:val="21"/>
        </w:rPr>
        <w:t>电子投标文件应使用“电子招标投标交易平台”可接受的投标文件制作工具进行编制、签章和加密，并在投标截止期前上传至 “电子招标投标交易平台”中。</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7</w:t>
      </w:r>
      <w:r>
        <w:rPr>
          <w:rFonts w:ascii="Calibri" w:hAnsi="Calibri" w:eastAsia="宋体" w:cs="Times New Roman"/>
          <w:szCs w:val="21"/>
        </w:rPr>
        <w:t>.</w:t>
      </w:r>
      <w:r>
        <w:rPr>
          <w:rFonts w:hint="eastAsia" w:ascii="Calibri" w:hAnsi="Calibri" w:eastAsia="宋体" w:cs="Times New Roman"/>
          <w:szCs w:val="21"/>
        </w:rPr>
        <w:t>3投标文件应当对招标文件有关工期、投标有效期、质量要求、技术标准和要求、招标范围等实质性内容作出响应。</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4.7.4电子投标文件中投标函、授权委托书（如有）加盖数字证书中的电子签章。</w:t>
      </w:r>
    </w:p>
    <w:p>
      <w:pPr>
        <w:spacing w:line="380" w:lineRule="exact"/>
        <w:rPr>
          <w:rFonts w:ascii="Calibri" w:hAnsi="Calibri" w:eastAsia="宋体" w:cs="Times New Roman"/>
          <w:b/>
          <w:sz w:val="28"/>
          <w:szCs w:val="28"/>
        </w:rPr>
      </w:pPr>
      <w:bookmarkStart w:id="77" w:name="_Toc367894801"/>
      <w:bookmarkStart w:id="78" w:name="_Toc369077564"/>
      <w:bookmarkStart w:id="79" w:name="_Toc184635074"/>
      <w:bookmarkStart w:id="80" w:name="_Toc363329373"/>
      <w:bookmarkStart w:id="81" w:name="_Toc397975267"/>
      <w:bookmarkStart w:id="82" w:name="_Toc368760430"/>
      <w:bookmarkStart w:id="83" w:name="_Toc368759378"/>
      <w:bookmarkStart w:id="84" w:name="_Toc363329374"/>
      <w:bookmarkStart w:id="85" w:name="_Toc367894802"/>
      <w:bookmarkStart w:id="86" w:name="_Toc184635075"/>
      <w:bookmarkStart w:id="87" w:name="_Toc368759379"/>
      <w:r>
        <w:rPr>
          <w:rFonts w:hint="eastAsia" w:ascii="Calibri" w:hAnsi="Calibri" w:eastAsia="宋体" w:cs="Times New Roman"/>
          <w:b/>
          <w:sz w:val="28"/>
          <w:szCs w:val="28"/>
        </w:rPr>
        <w:t>4</w:t>
      </w:r>
      <w:r>
        <w:rPr>
          <w:rFonts w:ascii="Calibri" w:hAnsi="Calibri" w:eastAsia="宋体" w:cs="Times New Roman"/>
          <w:b/>
          <w:sz w:val="28"/>
          <w:szCs w:val="28"/>
        </w:rPr>
        <w:t>.</w:t>
      </w:r>
      <w:r>
        <w:rPr>
          <w:rFonts w:hint="eastAsia" w:ascii="Calibri" w:hAnsi="Calibri" w:eastAsia="宋体" w:cs="Times New Roman"/>
          <w:b/>
          <w:sz w:val="28"/>
          <w:szCs w:val="28"/>
        </w:rPr>
        <w:t xml:space="preserve"> </w:t>
      </w:r>
      <w:r>
        <w:rPr>
          <w:rFonts w:ascii="Calibri" w:hAnsi="Calibri" w:eastAsia="宋体" w:cs="Times New Roman"/>
          <w:b/>
          <w:sz w:val="28"/>
          <w:szCs w:val="28"/>
        </w:rPr>
        <w:t>投标</w:t>
      </w:r>
      <w:bookmarkEnd w:id="77"/>
      <w:bookmarkEnd w:id="78"/>
      <w:bookmarkEnd w:id="79"/>
      <w:bookmarkEnd w:id="80"/>
      <w:bookmarkEnd w:id="81"/>
      <w:bookmarkEnd w:id="82"/>
      <w:bookmarkEnd w:id="83"/>
    </w:p>
    <w:p>
      <w:pPr>
        <w:spacing w:line="380" w:lineRule="exact"/>
        <w:outlineLvl w:val="2"/>
        <w:rPr>
          <w:rFonts w:ascii="Calibri" w:hAnsi="Calibri" w:eastAsia="Calibri" w:cs="Times New Roman"/>
          <w:b/>
          <w:bCs/>
          <w:sz w:val="28"/>
          <w:szCs w:val="28"/>
        </w:rPr>
      </w:pPr>
      <w:bookmarkStart w:id="88" w:name="_Toc397975269"/>
      <w:r>
        <w:rPr>
          <w:rFonts w:hint="eastAsia" w:ascii="Calibri" w:hAnsi="Calibri" w:eastAsia="宋体" w:cs="Times New Roman"/>
          <w:b/>
          <w:bCs/>
          <w:sz w:val="28"/>
          <w:szCs w:val="28"/>
        </w:rPr>
        <w:t>4</w:t>
      </w:r>
      <w:r>
        <w:rPr>
          <w:rFonts w:ascii="Calibri" w:hAnsi="Calibri" w:eastAsia="Calibri" w:cs="Times New Roman"/>
          <w:b/>
          <w:bCs/>
          <w:sz w:val="28"/>
          <w:szCs w:val="28"/>
        </w:rPr>
        <w:t>.</w:t>
      </w:r>
      <w:r>
        <w:rPr>
          <w:rFonts w:hint="eastAsia" w:ascii="Calibri" w:hAnsi="Calibri" w:eastAsia="宋体" w:cs="Times New Roman"/>
          <w:b/>
          <w:bCs/>
          <w:sz w:val="28"/>
          <w:szCs w:val="28"/>
        </w:rPr>
        <w:t>1</w:t>
      </w:r>
      <w:r>
        <w:rPr>
          <w:rFonts w:ascii="Calibri" w:hAnsi="Calibri" w:eastAsia="Calibri" w:cs="Times New Roman"/>
          <w:b/>
          <w:bCs/>
          <w:sz w:val="28"/>
          <w:szCs w:val="28"/>
        </w:rPr>
        <w:t xml:space="preserve"> </w:t>
      </w:r>
      <w:r>
        <w:rPr>
          <w:rFonts w:hint="eastAsia" w:ascii="宋体" w:hAnsi="宋体" w:eastAsia="宋体" w:cs="宋体"/>
          <w:b/>
          <w:bCs/>
          <w:sz w:val="28"/>
          <w:szCs w:val="28"/>
        </w:rPr>
        <w:t>投标文件的递交</w:t>
      </w:r>
      <w:bookmarkEnd w:id="88"/>
    </w:p>
    <w:p>
      <w:pPr>
        <w:spacing w:line="380" w:lineRule="exact"/>
        <w:ind w:firstLine="420"/>
        <w:rPr>
          <w:rFonts w:ascii="Calibri" w:hAnsi="Calibri" w:eastAsia="宋体" w:cs="Times New Roman"/>
          <w:szCs w:val="21"/>
        </w:rPr>
      </w:pPr>
      <w:r>
        <w:rPr>
          <w:rFonts w:hint="eastAsia" w:ascii="Calibri" w:hAnsi="Calibri" w:eastAsia="宋体" w:cs="Times New Roman"/>
          <w:szCs w:val="21"/>
        </w:rPr>
        <w:t>4.1.1</w:t>
      </w:r>
      <w:r>
        <w:rPr>
          <w:rFonts w:hint="eastAsia" w:ascii="Calibri" w:hAnsi="Calibri" w:eastAsia="宋体" w:cs="Calibri"/>
          <w:szCs w:val="21"/>
        </w:rPr>
        <w:t>投标人应在投标截止时间前，通过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递交加密后的电子投标文件。</w:t>
      </w:r>
    </w:p>
    <w:p>
      <w:pPr>
        <w:spacing w:line="380" w:lineRule="exact"/>
        <w:ind w:firstLine="420"/>
        <w:rPr>
          <w:rFonts w:ascii="Calibri" w:hAnsi="Calibri" w:eastAsia="宋体" w:cs="Calibri"/>
          <w:szCs w:val="21"/>
        </w:rPr>
      </w:pPr>
      <w:r>
        <w:rPr>
          <w:rFonts w:hint="eastAsia" w:ascii="Calibri" w:hAnsi="Calibri" w:eastAsia="宋体" w:cs="Times New Roman"/>
          <w:szCs w:val="21"/>
        </w:rPr>
        <w:t>4.1.2</w:t>
      </w:r>
      <w:r>
        <w:rPr>
          <w:rFonts w:hint="eastAsia" w:ascii="Calibri" w:hAnsi="Calibri" w:eastAsia="宋体" w:cs="Calibri"/>
          <w:szCs w:val="21"/>
        </w:rPr>
        <w:t>通过</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中上传的电子投标文件应使用数字证书认证并加密，未按要求加密和数字证书认证的投标文件，招标人不予受理。</w:t>
      </w:r>
    </w:p>
    <w:p>
      <w:pPr>
        <w:spacing w:line="380" w:lineRule="exact"/>
        <w:ind w:firstLine="420"/>
        <w:rPr>
          <w:rFonts w:ascii="Calibri" w:hAnsi="Calibri" w:eastAsia="宋体" w:cs="Times New Roman"/>
          <w:szCs w:val="21"/>
        </w:rPr>
      </w:pPr>
      <w:r>
        <w:rPr>
          <w:rFonts w:hint="eastAsia" w:ascii="Calibri" w:hAnsi="Calibri" w:eastAsia="宋体" w:cs="Calibri"/>
          <w:szCs w:val="21"/>
        </w:rPr>
        <w:t>4.1.3</w:t>
      </w:r>
      <w:r>
        <w:rPr>
          <w:rFonts w:hint="eastAsia" w:ascii="Calibri" w:hAnsi="Calibri" w:eastAsia="宋体" w:cs="Times New Roman"/>
          <w:szCs w:val="21"/>
        </w:rPr>
        <w:t>除投标人须知前附表另有规定外，投标人所递交的投标文件不予退还。</w:t>
      </w:r>
    </w:p>
    <w:p>
      <w:pPr>
        <w:spacing w:line="380" w:lineRule="exact"/>
        <w:outlineLvl w:val="2"/>
        <w:rPr>
          <w:rFonts w:ascii="Calibri" w:hAnsi="Calibri" w:eastAsia="Calibri" w:cs="Times New Roman"/>
          <w:b/>
          <w:bCs/>
          <w:sz w:val="28"/>
          <w:szCs w:val="28"/>
        </w:rPr>
      </w:pPr>
      <w:bookmarkStart w:id="89" w:name="_Toc397975270"/>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2</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投标文件的修改与撤回</w:t>
      </w:r>
      <w:bookmarkEnd w:id="89"/>
    </w:p>
    <w:p>
      <w:pPr>
        <w:spacing w:line="380" w:lineRule="exact"/>
        <w:ind w:firstLine="420" w:firstLineChars="200"/>
        <w:rPr>
          <w:rFonts w:ascii="Calibri" w:hAnsi="Calibri" w:eastAsia="宋体" w:cs="Calibri"/>
          <w:szCs w:val="21"/>
        </w:rPr>
      </w:pPr>
      <w:r>
        <w:rPr>
          <w:rFonts w:hint="eastAsia" w:ascii="Calibri" w:hAnsi="Calibri" w:eastAsia="宋体" w:cs="Calibri"/>
          <w:szCs w:val="21"/>
        </w:rPr>
        <w:t>在投标截止时间前，投标人可以修改或撤回已递交的投标文件。</w:t>
      </w:r>
    </w:p>
    <w:p>
      <w:pPr>
        <w:spacing w:line="380" w:lineRule="exact"/>
        <w:outlineLvl w:val="2"/>
        <w:rPr>
          <w:rFonts w:ascii="Calibri" w:hAnsi="Calibri" w:eastAsia="Calibri" w:cs="Times New Roman"/>
          <w:b/>
          <w:bCs/>
          <w:sz w:val="28"/>
          <w:szCs w:val="28"/>
        </w:rPr>
      </w:pPr>
      <w:bookmarkStart w:id="90" w:name="_Toc397975271"/>
      <w:r>
        <w:rPr>
          <w:rFonts w:hint="eastAsia" w:ascii="Calibri" w:hAnsi="Calibri" w:eastAsia="宋体" w:cs="Times New Roman"/>
          <w:b/>
          <w:bCs/>
          <w:sz w:val="28"/>
          <w:szCs w:val="28"/>
        </w:rPr>
        <w:t>4</w:t>
      </w:r>
      <w:r>
        <w:rPr>
          <w:rFonts w:hint="eastAsia" w:ascii="Calibri" w:hAnsi="Calibri" w:eastAsia="Calibri" w:cs="Times New Roman"/>
          <w:b/>
          <w:bCs/>
          <w:sz w:val="28"/>
          <w:szCs w:val="28"/>
        </w:rPr>
        <w:t>.</w:t>
      </w:r>
      <w:r>
        <w:rPr>
          <w:rFonts w:hint="eastAsia" w:ascii="Calibri" w:hAnsi="Calibri" w:eastAsia="宋体" w:cs="Times New Roman"/>
          <w:b/>
          <w:bCs/>
          <w:sz w:val="28"/>
          <w:szCs w:val="28"/>
        </w:rPr>
        <w:t>3</w:t>
      </w:r>
      <w:r>
        <w:rPr>
          <w:rFonts w:hint="eastAsia" w:ascii="Calibri" w:hAnsi="Calibri" w:eastAsia="Calibri" w:cs="Times New Roman"/>
          <w:b/>
          <w:bCs/>
          <w:sz w:val="28"/>
          <w:szCs w:val="28"/>
        </w:rPr>
        <w:t xml:space="preserve"> </w:t>
      </w:r>
      <w:r>
        <w:rPr>
          <w:rFonts w:hint="eastAsia" w:ascii="宋体" w:hAnsi="宋体" w:eastAsia="宋体" w:cs="宋体"/>
          <w:b/>
          <w:bCs/>
          <w:sz w:val="28"/>
          <w:szCs w:val="28"/>
        </w:rPr>
        <w:t>不予接收的投标文件</w:t>
      </w:r>
      <w:bookmarkEnd w:id="90"/>
    </w:p>
    <w:p>
      <w:pPr>
        <w:spacing w:line="380" w:lineRule="exact"/>
        <w:ind w:firstLine="420"/>
        <w:rPr>
          <w:rFonts w:ascii="Calibri" w:hAnsi="Calibri" w:eastAsia="宋体" w:cs="Calibri"/>
          <w:szCs w:val="21"/>
        </w:rPr>
      </w:pPr>
      <w:r>
        <w:rPr>
          <w:rFonts w:hint="eastAsia" w:ascii="Calibri" w:hAnsi="Calibri" w:eastAsia="宋体" w:cs="Calibri"/>
          <w:szCs w:val="21"/>
        </w:rPr>
        <w:t>逾期上传投标文件的，招标人不予受理。</w:t>
      </w:r>
    </w:p>
    <w:p>
      <w:pPr>
        <w:spacing w:line="380" w:lineRule="exact"/>
        <w:jc w:val="left"/>
        <w:outlineLvl w:val="1"/>
        <w:rPr>
          <w:rFonts w:ascii="Calibri" w:hAnsi="Calibri" w:eastAsia="Calibri" w:cs="Times New Roman"/>
          <w:b/>
          <w:kern w:val="0"/>
          <w:sz w:val="28"/>
          <w:szCs w:val="28"/>
        </w:rPr>
      </w:pPr>
      <w:bookmarkStart w:id="91" w:name="_Toc368760431"/>
      <w:bookmarkStart w:id="92" w:name="_Toc369077565"/>
      <w:bookmarkStart w:id="93" w:name="_Toc397975272"/>
      <w:bookmarkStart w:id="94" w:name="_Toc152045566"/>
      <w:bookmarkStart w:id="95" w:name="_Toc144974534"/>
      <w:bookmarkStart w:id="96" w:name="_Toc246996953"/>
      <w:bookmarkStart w:id="97" w:name="_Toc152042342"/>
      <w:bookmarkStart w:id="98" w:name="_Toc368759381"/>
      <w:bookmarkStart w:id="99" w:name="_Toc179632584"/>
      <w:bookmarkStart w:id="100" w:name="_Toc247085724"/>
      <w:bookmarkStart w:id="101" w:name="_Toc246996210"/>
      <w:bookmarkStart w:id="102" w:name="_Toc366679697"/>
      <w:r>
        <w:rPr>
          <w:rFonts w:hint="eastAsia" w:ascii="Calibri" w:hAnsi="Calibri" w:eastAsia="宋体" w:cs="Times New Roman"/>
          <w:b/>
          <w:kern w:val="0"/>
          <w:sz w:val="28"/>
          <w:szCs w:val="28"/>
        </w:rPr>
        <w:t>5</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开标</w:t>
      </w:r>
      <w:bookmarkEnd w:id="91"/>
      <w:bookmarkEnd w:id="92"/>
      <w:bookmarkEnd w:id="93"/>
    </w:p>
    <w:p>
      <w:pPr>
        <w:spacing w:line="380" w:lineRule="exact"/>
        <w:outlineLvl w:val="2"/>
        <w:rPr>
          <w:rFonts w:ascii="Calibri" w:hAnsi="Calibri" w:eastAsia="Calibri" w:cs="Times New Roman"/>
          <w:b/>
          <w:bCs/>
          <w:sz w:val="28"/>
          <w:szCs w:val="28"/>
        </w:rPr>
      </w:pPr>
      <w:bookmarkStart w:id="103" w:name="_Toc397975273"/>
      <w:r>
        <w:rPr>
          <w:rFonts w:hint="eastAsia" w:ascii="Calibri" w:hAnsi="Calibri" w:eastAsia="宋体" w:cs="Times New Roman"/>
          <w:b/>
          <w:bCs/>
          <w:sz w:val="28"/>
          <w:szCs w:val="28"/>
        </w:rPr>
        <w:t>5</w:t>
      </w:r>
      <w:r>
        <w:rPr>
          <w:rFonts w:ascii="Calibri" w:hAnsi="Calibri" w:eastAsia="Calibri" w:cs="Times New Roman"/>
          <w:b/>
          <w:bCs/>
          <w:sz w:val="28"/>
          <w:szCs w:val="28"/>
        </w:rPr>
        <w:t xml:space="preserve">.1 </w:t>
      </w:r>
      <w:r>
        <w:rPr>
          <w:rFonts w:hint="eastAsia" w:ascii="宋体" w:hAnsi="宋体" w:eastAsia="宋体" w:cs="宋体"/>
          <w:b/>
          <w:bCs/>
          <w:sz w:val="28"/>
          <w:szCs w:val="28"/>
        </w:rPr>
        <w:t>开标时间和地点</w:t>
      </w:r>
      <w:bookmarkEnd w:id="103"/>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5.1.1 </w:t>
      </w:r>
      <w:r>
        <w:rPr>
          <w:rFonts w:ascii="Calibri" w:hAnsi="Calibri" w:eastAsia="宋体" w:cs="Times New Roman"/>
          <w:szCs w:val="21"/>
        </w:rPr>
        <w:t>招标人</w:t>
      </w:r>
      <w:r>
        <w:rPr>
          <w:rFonts w:hint="eastAsia" w:ascii="Calibri" w:hAnsi="Calibri" w:eastAsia="宋体" w:cs="Times New Roman"/>
          <w:szCs w:val="21"/>
        </w:rPr>
        <w:t>按</w:t>
      </w:r>
      <w:r>
        <w:rPr>
          <w:rFonts w:ascii="Calibri" w:hAnsi="Calibri" w:eastAsia="宋体" w:cs="Times New Roman"/>
          <w:szCs w:val="21"/>
        </w:rPr>
        <w:t>投标人须知前附表规定的开标时间和地点公开开标。</w:t>
      </w:r>
    </w:p>
    <w:p>
      <w:pPr>
        <w:autoSpaceDE w:val="0"/>
        <w:autoSpaceDN w:val="0"/>
        <w:adjustRightInd w:val="0"/>
        <w:spacing w:line="38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 xml:space="preserve">5.1.2 </w:t>
      </w:r>
      <w:r>
        <w:rPr>
          <w:rFonts w:hint="eastAsia" w:ascii="Calibri" w:hAnsi="Calibri" w:eastAsia="宋体" w:cs="Calibri"/>
          <w:szCs w:val="21"/>
        </w:rPr>
        <w:t>参加开标会的投标人代表的要求：见投标人须知前附表。</w:t>
      </w:r>
    </w:p>
    <w:p>
      <w:pPr>
        <w:spacing w:line="380" w:lineRule="exact"/>
        <w:outlineLvl w:val="2"/>
        <w:rPr>
          <w:rFonts w:ascii="Calibri" w:hAnsi="Calibri" w:eastAsia="Calibri" w:cs="Times New Roman"/>
          <w:b/>
          <w:bCs/>
          <w:sz w:val="28"/>
          <w:szCs w:val="28"/>
        </w:rPr>
      </w:pPr>
      <w:bookmarkStart w:id="104" w:name="_Toc397975274"/>
      <w:r>
        <w:rPr>
          <w:rFonts w:hint="eastAsia" w:ascii="Calibri" w:hAnsi="Calibri" w:eastAsia="宋体" w:cs="Times New Roman"/>
          <w:b/>
          <w:bCs/>
          <w:sz w:val="28"/>
          <w:szCs w:val="28"/>
        </w:rPr>
        <w:t>5</w:t>
      </w:r>
      <w:r>
        <w:rPr>
          <w:rFonts w:ascii="Calibri" w:hAnsi="Calibri" w:eastAsia="Calibri" w:cs="Times New Roman"/>
          <w:b/>
          <w:bCs/>
          <w:sz w:val="28"/>
          <w:szCs w:val="28"/>
        </w:rPr>
        <w:t xml:space="preserve">.2 </w:t>
      </w:r>
      <w:r>
        <w:rPr>
          <w:rFonts w:hint="eastAsia" w:ascii="宋体" w:hAnsi="宋体" w:eastAsia="宋体" w:cs="宋体"/>
          <w:b/>
          <w:bCs/>
          <w:sz w:val="28"/>
          <w:szCs w:val="28"/>
        </w:rPr>
        <w:t>开标程序</w:t>
      </w:r>
      <w:bookmarkEnd w:id="104"/>
    </w:p>
    <w:p>
      <w:pPr>
        <w:spacing w:line="380" w:lineRule="exact"/>
        <w:ind w:firstLine="420"/>
        <w:rPr>
          <w:rFonts w:ascii="Calibri" w:hAnsi="Calibri" w:eastAsia="宋体" w:cs="Calibri"/>
          <w:szCs w:val="21"/>
        </w:rPr>
      </w:pPr>
      <w:bookmarkStart w:id="105" w:name="_Toc368760432"/>
      <w:bookmarkStart w:id="106" w:name="_Toc367894803"/>
      <w:bookmarkStart w:id="107" w:name="_Toc369077566"/>
      <w:bookmarkStart w:id="108" w:name="_Toc363329375"/>
      <w:bookmarkStart w:id="109" w:name="_Toc184635076"/>
      <w:bookmarkStart w:id="110" w:name="_Toc368759380"/>
      <w:r>
        <w:rPr>
          <w:rFonts w:hint="eastAsia" w:ascii="Calibri" w:hAnsi="Calibri" w:eastAsia="宋体" w:cs="Times New Roman"/>
          <w:szCs w:val="21"/>
        </w:rPr>
        <w:t>5.2.1</w:t>
      </w:r>
      <w:r>
        <w:rPr>
          <w:rFonts w:hint="eastAsia" w:ascii="Calibri" w:hAnsi="Calibri" w:eastAsia="宋体" w:cs="Calibri"/>
          <w:szCs w:val="21"/>
        </w:rPr>
        <w:t>开标程序：见投标人须知前附表。</w:t>
      </w:r>
    </w:p>
    <w:p>
      <w:pPr>
        <w:spacing w:line="380" w:lineRule="exact"/>
        <w:ind w:firstLine="420"/>
        <w:rPr>
          <w:rFonts w:ascii="Calibri" w:hAnsi="Calibri" w:eastAsia="宋体" w:cs="Calibri"/>
          <w:szCs w:val="21"/>
        </w:rPr>
      </w:pPr>
      <w:r>
        <w:rPr>
          <w:rFonts w:hint="eastAsia" w:ascii="Calibri" w:hAnsi="Calibri" w:eastAsia="宋体" w:cs="Calibri"/>
          <w:szCs w:val="21"/>
        </w:rPr>
        <w:t>5.2.2每个投标人应在“投标人须知前附表”规定的时间内完成电子投标文件的解密工作，解密后的电子投标文件将在开标会议上当众进行数据导入。</w:t>
      </w:r>
    </w:p>
    <w:p>
      <w:pPr>
        <w:spacing w:line="380" w:lineRule="exact"/>
        <w:outlineLvl w:val="2"/>
        <w:rPr>
          <w:rFonts w:ascii="Calibri" w:hAnsi="Calibri" w:eastAsia="Calibri" w:cs="Calibri"/>
          <w:b/>
          <w:sz w:val="24"/>
          <w:szCs w:val="20"/>
        </w:rPr>
      </w:pPr>
      <w:r>
        <w:rPr>
          <w:rFonts w:hint="eastAsia" w:ascii="Calibri" w:hAnsi="Calibri" w:eastAsia="宋体" w:cs="Times New Roman"/>
          <w:bCs/>
          <w:sz w:val="28"/>
          <w:szCs w:val="28"/>
        </w:rPr>
        <w:t>5</w:t>
      </w:r>
      <w:r>
        <w:rPr>
          <w:rFonts w:hint="eastAsia" w:ascii="Calibri" w:hAnsi="Calibri" w:eastAsia="Calibri" w:cs="Times New Roman"/>
          <w:bCs/>
          <w:sz w:val="28"/>
          <w:szCs w:val="28"/>
        </w:rPr>
        <w:t>.3</w:t>
      </w:r>
      <w:r>
        <w:rPr>
          <w:rFonts w:hint="eastAsia" w:ascii="宋体" w:hAnsi="宋体" w:eastAsia="宋体" w:cs="宋体"/>
          <w:b/>
          <w:sz w:val="24"/>
          <w:szCs w:val="20"/>
        </w:rPr>
        <w:t>特殊情况处理</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5.3.1 因投标人原因造成投标文件在规定的时间内未完成解密的，该投标将被拒绝。</w:t>
      </w:r>
    </w:p>
    <w:p>
      <w:pPr>
        <w:spacing w:line="380" w:lineRule="exact"/>
        <w:ind w:firstLine="420" w:firstLineChars="200"/>
        <w:rPr>
          <w:rFonts w:ascii="Calibri" w:hAnsi="Calibri" w:eastAsia="宋体" w:cs="Calibri"/>
          <w:szCs w:val="21"/>
        </w:rPr>
      </w:pPr>
      <w:r>
        <w:rPr>
          <w:rFonts w:hint="eastAsia" w:ascii="Calibri" w:hAnsi="Calibri" w:eastAsia="宋体" w:cs="Calibri"/>
          <w:szCs w:val="21"/>
        </w:rPr>
        <w:t>5.3.2投标人对开标有异议的，应当在开标现场提出，招标人当场予以答复。</w:t>
      </w:r>
    </w:p>
    <w:p>
      <w:pPr>
        <w:autoSpaceDE w:val="0"/>
        <w:autoSpaceDN w:val="0"/>
        <w:adjustRightInd w:val="0"/>
        <w:spacing w:line="380" w:lineRule="exact"/>
        <w:jc w:val="left"/>
        <w:rPr>
          <w:rFonts w:ascii="Calibri" w:hAnsi="Calibri" w:eastAsia="宋体" w:cs="Calibri"/>
          <w:kern w:val="0"/>
          <w:sz w:val="28"/>
          <w:szCs w:val="28"/>
        </w:rPr>
      </w:pPr>
      <w:bookmarkStart w:id="111" w:name="_Toc397975275"/>
      <w:r>
        <w:rPr>
          <w:rFonts w:hint="eastAsia" w:ascii="Calibri" w:hAnsi="Calibri" w:eastAsia="宋体" w:cs="Times New Roman"/>
          <w:b/>
          <w:bCs/>
          <w:sz w:val="28"/>
          <w:szCs w:val="28"/>
        </w:rPr>
        <w:t>6</w:t>
      </w:r>
      <w:r>
        <w:rPr>
          <w:rFonts w:ascii="Calibri" w:hAnsi="Calibri" w:eastAsia="宋体" w:cs="Times New Roman"/>
          <w:b/>
          <w:bCs/>
          <w:sz w:val="28"/>
          <w:szCs w:val="28"/>
        </w:rPr>
        <w:t>.</w:t>
      </w:r>
      <w:r>
        <w:rPr>
          <w:rFonts w:hint="eastAsia" w:ascii="Calibri" w:hAnsi="Calibri" w:eastAsia="宋体" w:cs="Times New Roman"/>
          <w:b/>
          <w:bCs/>
          <w:sz w:val="28"/>
          <w:szCs w:val="28"/>
        </w:rPr>
        <w:t xml:space="preserve"> </w:t>
      </w:r>
      <w:r>
        <w:rPr>
          <w:rFonts w:ascii="Calibri" w:hAnsi="Calibri" w:eastAsia="宋体" w:cs="Times New Roman"/>
          <w:b/>
          <w:bCs/>
          <w:sz w:val="28"/>
          <w:szCs w:val="28"/>
        </w:rPr>
        <w:t>评标</w:t>
      </w:r>
      <w:bookmarkEnd w:id="105"/>
      <w:bookmarkEnd w:id="106"/>
      <w:bookmarkEnd w:id="107"/>
      <w:bookmarkEnd w:id="108"/>
      <w:bookmarkEnd w:id="109"/>
      <w:bookmarkEnd w:id="110"/>
      <w:bookmarkEnd w:id="111"/>
    </w:p>
    <w:p>
      <w:pPr>
        <w:spacing w:line="380" w:lineRule="exact"/>
        <w:outlineLvl w:val="2"/>
        <w:rPr>
          <w:rFonts w:ascii="Calibri" w:hAnsi="Calibri" w:eastAsia="Calibri" w:cs="Times New Roman"/>
          <w:b/>
          <w:bCs/>
          <w:sz w:val="28"/>
          <w:szCs w:val="28"/>
        </w:rPr>
      </w:pPr>
      <w:bookmarkStart w:id="112" w:name="_Toc397975276"/>
      <w:r>
        <w:rPr>
          <w:rFonts w:hint="eastAsia" w:ascii="Calibri" w:hAnsi="Calibri" w:eastAsia="宋体" w:cs="Times New Roman"/>
          <w:b/>
          <w:bCs/>
          <w:sz w:val="28"/>
          <w:szCs w:val="28"/>
        </w:rPr>
        <w:t>6</w:t>
      </w:r>
      <w:r>
        <w:rPr>
          <w:rFonts w:ascii="Calibri" w:hAnsi="Calibri" w:eastAsia="Calibri" w:cs="Times New Roman"/>
          <w:b/>
          <w:bCs/>
          <w:sz w:val="28"/>
          <w:szCs w:val="28"/>
        </w:rPr>
        <w:t xml:space="preserve">.1 </w:t>
      </w:r>
      <w:r>
        <w:rPr>
          <w:rFonts w:hint="eastAsia" w:ascii="宋体" w:hAnsi="宋体" w:eastAsia="宋体" w:cs="宋体"/>
          <w:b/>
          <w:bCs/>
          <w:sz w:val="28"/>
          <w:szCs w:val="28"/>
        </w:rPr>
        <w:t>评标委员会</w:t>
      </w:r>
      <w:bookmarkEnd w:id="112"/>
    </w:p>
    <w:p>
      <w:pPr>
        <w:spacing w:line="380" w:lineRule="exact"/>
        <w:ind w:firstLine="420" w:firstLineChars="200"/>
        <w:rPr>
          <w:rFonts w:ascii="Calibri" w:hAnsi="Calibri" w:eastAsia="宋体" w:cs="Times New Roman"/>
          <w:szCs w:val="21"/>
        </w:rPr>
      </w:pPr>
      <w:bookmarkStart w:id="113" w:name="_Toc269310951"/>
      <w:bookmarkStart w:id="114" w:name="_Toc339359778"/>
      <w:bookmarkStart w:id="115" w:name="_Toc324255922"/>
      <w:r>
        <w:rPr>
          <w:rFonts w:hint="eastAsia" w:ascii="Calibri" w:hAnsi="Calibri" w:eastAsia="宋体" w:cs="Times New Roman"/>
          <w:szCs w:val="21"/>
        </w:rPr>
        <w:t>6</w:t>
      </w:r>
      <w:r>
        <w:rPr>
          <w:rFonts w:ascii="Calibri" w:hAnsi="Calibri" w:eastAsia="宋体" w:cs="Times New Roman"/>
          <w:szCs w:val="21"/>
        </w:rPr>
        <w:t>.1.1 评标由招标人依法组建的评标委员会负责。</w:t>
      </w:r>
      <w:r>
        <w:rPr>
          <w:rFonts w:hint="eastAsia" w:ascii="Calibri" w:hAnsi="Calibri" w:eastAsia="宋体" w:cs="Times New Roman"/>
          <w:szCs w:val="21"/>
        </w:rPr>
        <w:t>评标委员会成员由有关技术、经济等方面的专家组成，</w:t>
      </w:r>
      <w:r>
        <w:rPr>
          <w:rFonts w:hint="eastAsia" w:ascii="宋体" w:hAnsi="Times New Roman" w:eastAsia="宋体" w:cs="Times New Roman"/>
          <w:szCs w:val="20"/>
        </w:rPr>
        <w:t>其中评标专家不少于三分之二，招标人评委不超过三分之一</w:t>
      </w:r>
      <w:r>
        <w:rPr>
          <w:rFonts w:hint="eastAsia" w:ascii="Calibri" w:hAnsi="Calibri" w:eastAsia="宋体" w:cs="Times New Roman"/>
          <w:szCs w:val="21"/>
        </w:rPr>
        <w:t>。</w:t>
      </w:r>
      <w:r>
        <w:rPr>
          <w:rFonts w:ascii="Calibri" w:hAnsi="Calibri" w:eastAsia="宋体" w:cs="Times New Roman"/>
          <w:szCs w:val="21"/>
        </w:rPr>
        <w:t>评标委员会</w:t>
      </w:r>
      <w:r>
        <w:rPr>
          <w:rFonts w:hint="eastAsia" w:ascii="Calibri" w:hAnsi="Calibri" w:eastAsia="宋体" w:cs="Times New Roman"/>
          <w:szCs w:val="21"/>
        </w:rPr>
        <w:t>的确定方式：在江苏省综合评标 （评审）专家库中随机抽取并电脑语音通知。</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6</w:t>
      </w:r>
      <w:r>
        <w:rPr>
          <w:rFonts w:ascii="Calibri" w:hAnsi="Calibri" w:eastAsia="宋体" w:cs="Times New Roman"/>
          <w:szCs w:val="21"/>
        </w:rPr>
        <w:t>.1.2 评标委员会成员有下列情形之一的，应当回避：</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（1）</w:t>
      </w:r>
      <w:r>
        <w:rPr>
          <w:rFonts w:ascii="Calibri" w:hAnsi="Calibri" w:eastAsia="宋体" w:cs="Times New Roman"/>
          <w:szCs w:val="21"/>
        </w:rPr>
        <w:t>投标人或投标人主要负责人的近亲属；</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项目主管部门或者行政监督部门的人员；</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与投标人有经济利益关系；</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曾因在招标、评标以及其他与招标投标有关活动中从事违法行为而受过行政处罚或刑事处罚的</w:t>
      </w:r>
      <w:r>
        <w:rPr>
          <w:rFonts w:hint="eastAsia" w:ascii="Calibri" w:hAnsi="Calibri" w:eastAsia="宋体" w:cs="Times New Roman"/>
          <w:szCs w:val="21"/>
        </w:rPr>
        <w:t>。</w:t>
      </w:r>
    </w:p>
    <w:p>
      <w:pPr>
        <w:spacing w:line="380" w:lineRule="exact"/>
        <w:outlineLvl w:val="2"/>
        <w:rPr>
          <w:rFonts w:ascii="Calibri" w:hAnsi="Calibri" w:eastAsia="Calibri" w:cs="Times New Roman"/>
          <w:b/>
          <w:bCs/>
          <w:sz w:val="28"/>
          <w:szCs w:val="28"/>
        </w:rPr>
      </w:pPr>
      <w:bookmarkStart w:id="116" w:name="_Toc397975277"/>
      <w:r>
        <w:rPr>
          <w:rFonts w:hint="eastAsia" w:ascii="Calibri" w:hAnsi="Calibri" w:eastAsia="宋体" w:cs="Times New Roman"/>
          <w:b/>
          <w:bCs/>
          <w:sz w:val="28"/>
          <w:szCs w:val="28"/>
        </w:rPr>
        <w:t>6</w:t>
      </w:r>
      <w:r>
        <w:rPr>
          <w:rFonts w:ascii="Calibri" w:hAnsi="Calibri" w:eastAsia="Calibri" w:cs="Times New Roman"/>
          <w:b/>
          <w:bCs/>
          <w:sz w:val="28"/>
          <w:szCs w:val="28"/>
        </w:rPr>
        <w:t>.2</w:t>
      </w:r>
      <w:bookmarkEnd w:id="113"/>
      <w:bookmarkEnd w:id="114"/>
      <w:bookmarkEnd w:id="115"/>
      <w:r>
        <w:rPr>
          <w:rFonts w:hint="eastAsia" w:ascii="Calibri" w:hAnsi="Calibri" w:eastAsia="Calibri" w:cs="Times New Roman"/>
          <w:b/>
          <w:bCs/>
          <w:sz w:val="28"/>
          <w:szCs w:val="28"/>
        </w:rPr>
        <w:t xml:space="preserve"> </w:t>
      </w:r>
      <w:r>
        <w:rPr>
          <w:rFonts w:hint="eastAsia" w:ascii="宋体" w:hAnsi="宋体" w:eastAsia="宋体" w:cs="宋体"/>
          <w:b/>
          <w:bCs/>
          <w:sz w:val="28"/>
          <w:szCs w:val="28"/>
        </w:rPr>
        <w:t>评标原则</w:t>
      </w:r>
      <w:bookmarkEnd w:id="116"/>
    </w:p>
    <w:p>
      <w:pPr>
        <w:spacing w:line="380" w:lineRule="exact"/>
        <w:ind w:firstLine="420" w:firstLineChars="200"/>
        <w:rPr>
          <w:rFonts w:ascii="Calibri" w:hAnsi="Calibri" w:eastAsia="宋体" w:cs="Times New Roman"/>
          <w:szCs w:val="21"/>
        </w:rPr>
      </w:pPr>
      <w:r>
        <w:rPr>
          <w:rFonts w:ascii="Calibri" w:hAnsi="Calibri" w:eastAsia="宋体" w:cs="Times New Roman"/>
          <w:szCs w:val="21"/>
        </w:rPr>
        <w:t>评标活动遵循公平、公正、科学和择优的原则。</w:t>
      </w:r>
    </w:p>
    <w:p>
      <w:pPr>
        <w:spacing w:line="380" w:lineRule="exact"/>
        <w:outlineLvl w:val="2"/>
        <w:rPr>
          <w:rFonts w:ascii="Calibri" w:hAnsi="Calibri" w:eastAsia="Calibri" w:cs="Times New Roman"/>
          <w:b/>
          <w:bCs/>
          <w:sz w:val="28"/>
          <w:szCs w:val="28"/>
        </w:rPr>
      </w:pPr>
      <w:bookmarkStart w:id="117" w:name="_Toc179632583"/>
      <w:bookmarkStart w:id="118" w:name="_Toc152045565"/>
      <w:bookmarkStart w:id="119" w:name="_Toc247085723"/>
      <w:bookmarkStart w:id="120" w:name="_Toc246996952"/>
      <w:bookmarkStart w:id="121" w:name="_Toc6500"/>
      <w:bookmarkStart w:id="122" w:name="_Toc387526408"/>
      <w:bookmarkStart w:id="123" w:name="_Toc397975278"/>
      <w:bookmarkStart w:id="124" w:name="_Toc20553"/>
      <w:bookmarkStart w:id="125" w:name="_Toc246996209"/>
      <w:bookmarkStart w:id="126" w:name="_Toc152042341"/>
      <w:bookmarkStart w:id="127" w:name="_Toc387526212"/>
      <w:bookmarkStart w:id="128" w:name="_Toc144974533"/>
      <w:bookmarkStart w:id="129" w:name="_Toc387526316"/>
      <w:bookmarkStart w:id="130" w:name="_Toc366679696"/>
      <w:bookmarkStart w:id="131" w:name="_Toc368760433"/>
      <w:bookmarkStart w:id="132" w:name="_Toc369077567"/>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评标</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380" w:lineRule="exact"/>
        <w:ind w:firstLine="420" w:firstLineChars="200"/>
        <w:rPr>
          <w:rFonts w:ascii="Calibri" w:hAnsi="Calibri" w:eastAsia="宋体" w:cs="Times New Roman"/>
          <w:szCs w:val="21"/>
        </w:rPr>
      </w:pPr>
      <w:bookmarkStart w:id="133" w:name="_Toc24529"/>
      <w:r>
        <w:rPr>
          <w:rFonts w:hint="eastAsia" w:ascii="Calibri" w:hAnsi="Calibri" w:eastAsia="宋体" w:cs="Times New Roman"/>
          <w:szCs w:val="21"/>
        </w:rPr>
        <w:t>评标委员会按照第三章“评标办法”规定的方法、评审因素、标准和程序对投标文件进行评审。第三章“评标办法”没有规定的方法、评审因素和标准，不作为评标依据。</w:t>
      </w:r>
    </w:p>
    <w:p>
      <w:pPr>
        <w:spacing w:line="380" w:lineRule="exact"/>
        <w:outlineLvl w:val="2"/>
        <w:rPr>
          <w:rFonts w:ascii="Calibri" w:hAnsi="Calibri" w:eastAsia="Calibri" w:cs="Times New Roman"/>
          <w:b/>
          <w:bCs/>
          <w:sz w:val="28"/>
          <w:szCs w:val="28"/>
        </w:rPr>
      </w:pPr>
      <w:bookmarkStart w:id="134" w:name="_Toc397928585"/>
      <w:r>
        <w:rPr>
          <w:rFonts w:hint="eastAsia" w:ascii="Calibri" w:hAnsi="Calibri" w:eastAsia="宋体" w:cs="Times New Roman"/>
          <w:b/>
          <w:bCs/>
          <w:sz w:val="28"/>
          <w:szCs w:val="28"/>
        </w:rPr>
        <w:t>6</w:t>
      </w:r>
      <w:r>
        <w:rPr>
          <w:rFonts w:hint="eastAsia" w:ascii="Calibri" w:hAnsi="Calibri" w:eastAsia="Calibri" w:cs="Times New Roman"/>
          <w:b/>
          <w:bCs/>
          <w:sz w:val="28"/>
          <w:szCs w:val="28"/>
        </w:rPr>
        <w:t xml:space="preserve">.4 </w:t>
      </w:r>
      <w:r>
        <w:rPr>
          <w:rFonts w:hint="eastAsia" w:ascii="宋体" w:hAnsi="宋体" w:eastAsia="宋体" w:cs="宋体"/>
          <w:b/>
          <w:bCs/>
          <w:sz w:val="28"/>
          <w:szCs w:val="28"/>
        </w:rPr>
        <w:t>多个标段推荐中标候选人顺序</w:t>
      </w:r>
      <w:bookmarkEnd w:id="134"/>
    </w:p>
    <w:bookmarkEnd w:id="133"/>
    <w:p>
      <w:pPr>
        <w:spacing w:line="380" w:lineRule="exact"/>
        <w:jc w:val="left"/>
        <w:outlineLvl w:val="1"/>
        <w:rPr>
          <w:rFonts w:ascii="Calibri" w:hAnsi="Calibri" w:eastAsia="宋体" w:cs="Times New Roman"/>
          <w:szCs w:val="21"/>
        </w:rPr>
      </w:pPr>
      <w:bookmarkStart w:id="135" w:name="_Toc397975280"/>
      <w:r>
        <w:rPr>
          <w:rFonts w:hint="eastAsia" w:ascii="Calibri" w:hAnsi="Calibri" w:eastAsia="宋体" w:cs="Times New Roman"/>
          <w:szCs w:val="21"/>
        </w:rPr>
        <w:t>本次招标不涉及。</w:t>
      </w:r>
    </w:p>
    <w:p>
      <w:pPr>
        <w:spacing w:line="380" w:lineRule="exact"/>
        <w:jc w:val="left"/>
        <w:outlineLvl w:val="1"/>
        <w:rPr>
          <w:rFonts w:ascii="Calibri" w:hAnsi="Calibri" w:eastAsia="Calibri" w:cs="Times New Roman"/>
          <w:b/>
          <w:kern w:val="0"/>
          <w:sz w:val="28"/>
          <w:szCs w:val="28"/>
        </w:rPr>
      </w:pPr>
      <w:r>
        <w:rPr>
          <w:rFonts w:hint="eastAsia" w:ascii="Calibri" w:hAnsi="Calibri" w:eastAsia="宋体" w:cs="Times New Roman"/>
          <w:b/>
          <w:kern w:val="0"/>
          <w:sz w:val="28"/>
          <w:szCs w:val="28"/>
        </w:rPr>
        <w:t>7</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评标结果公示</w:t>
      </w:r>
      <w:bookmarkEnd w:id="135"/>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7.1 招标人在收到评标报告后3日内在本招标项目招标公告发布的同一媒介进行评标结果公示</w:t>
      </w:r>
      <w:r>
        <w:rPr>
          <w:rFonts w:hint="eastAsia" w:ascii="Calibri" w:hAnsi="Calibri" w:eastAsia="宋体" w:cs="Calibri"/>
          <w:kern w:val="0"/>
          <w:szCs w:val="21"/>
        </w:rPr>
        <w:t>，公示期不少于3日（最有一天应为工作日）</w:t>
      </w:r>
      <w:r>
        <w:rPr>
          <w:rFonts w:hint="eastAsia" w:ascii="Calibri" w:hAnsi="Calibri" w:eastAsia="宋体" w:cs="Times New Roman"/>
          <w:szCs w:val="21"/>
        </w:rPr>
        <w:t>。</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 xml:space="preserve">7.2 </w:t>
      </w:r>
      <w:r>
        <w:rPr>
          <w:rFonts w:ascii="Calibri" w:hAnsi="Calibri" w:eastAsia="宋体" w:cs="Times New Roman"/>
          <w:szCs w:val="21"/>
        </w:rPr>
        <w:t>投标人或者其他利害关系人对评标结果有异议的，应当在</w:t>
      </w:r>
      <w:r>
        <w:rPr>
          <w:rFonts w:hint="eastAsia" w:ascii="Calibri" w:hAnsi="Calibri" w:eastAsia="宋体" w:cs="Times New Roman"/>
          <w:szCs w:val="21"/>
        </w:rPr>
        <w:t>评标结果</w:t>
      </w:r>
      <w:r>
        <w:rPr>
          <w:rFonts w:ascii="Calibri" w:hAnsi="Calibri" w:eastAsia="宋体" w:cs="Times New Roman"/>
          <w:szCs w:val="21"/>
        </w:rPr>
        <w:t>公示期间</w:t>
      </w:r>
      <w:r>
        <w:rPr>
          <w:rFonts w:hint="eastAsia" w:ascii="Calibri" w:hAnsi="Calibri" w:eastAsia="宋体" w:cs="Times New Roman"/>
          <w:szCs w:val="21"/>
        </w:rPr>
        <w:t>书面向招标人提出。</w:t>
      </w:r>
      <w:r>
        <w:rPr>
          <w:rFonts w:ascii="Calibri" w:hAnsi="Calibri" w:eastAsia="宋体" w:cs="Times New Roman"/>
          <w:szCs w:val="21"/>
        </w:rPr>
        <w:t>招标人自收到</w:t>
      </w:r>
      <w:r>
        <w:rPr>
          <w:rFonts w:hint="eastAsia" w:ascii="Calibri" w:hAnsi="Calibri" w:eastAsia="宋体" w:cs="Times New Roman"/>
          <w:szCs w:val="21"/>
        </w:rPr>
        <w:t>书面</w:t>
      </w:r>
      <w:r>
        <w:rPr>
          <w:rFonts w:ascii="Calibri" w:hAnsi="Calibri" w:eastAsia="宋体" w:cs="Times New Roman"/>
          <w:szCs w:val="21"/>
        </w:rPr>
        <w:t>异议</w:t>
      </w:r>
      <w:r>
        <w:rPr>
          <w:rFonts w:hint="eastAsia" w:ascii="Calibri" w:hAnsi="Calibri" w:eastAsia="宋体" w:cs="Times New Roman"/>
          <w:szCs w:val="21"/>
        </w:rPr>
        <w:t>材料</w:t>
      </w:r>
      <w:r>
        <w:rPr>
          <w:rFonts w:ascii="Calibri" w:hAnsi="Calibri" w:eastAsia="宋体" w:cs="Times New Roman"/>
          <w:szCs w:val="21"/>
        </w:rPr>
        <w:t>之日起</w:t>
      </w:r>
      <w:r>
        <w:rPr>
          <w:rFonts w:hint="eastAsia" w:ascii="Calibri" w:hAnsi="Calibri" w:eastAsia="宋体" w:cs="Times New Roman"/>
          <w:szCs w:val="21"/>
        </w:rPr>
        <w:t>3</w:t>
      </w:r>
      <w:r>
        <w:rPr>
          <w:rFonts w:ascii="Calibri" w:hAnsi="Calibri" w:eastAsia="宋体" w:cs="Times New Roman"/>
          <w:szCs w:val="21"/>
        </w:rPr>
        <w:t>日内作出答复</w:t>
      </w:r>
      <w:r>
        <w:rPr>
          <w:rFonts w:hint="eastAsia" w:ascii="Calibri" w:hAnsi="Calibri" w:eastAsia="宋体" w:cs="Times New Roman"/>
          <w:szCs w:val="21"/>
        </w:rPr>
        <w:t>，并在</w:t>
      </w:r>
      <w:r>
        <w:rPr>
          <w:rFonts w:ascii="Calibri" w:hAnsi="Calibri" w:eastAsia="宋体" w:cs="Times New Roman"/>
          <w:szCs w:val="21"/>
        </w:rPr>
        <w:t>作出答复前暂停招标投标活动。</w:t>
      </w:r>
    </w:p>
    <w:p>
      <w:pPr>
        <w:spacing w:line="380" w:lineRule="exact"/>
        <w:jc w:val="left"/>
        <w:outlineLvl w:val="1"/>
        <w:rPr>
          <w:rFonts w:ascii="Calibri" w:hAnsi="Calibri" w:eastAsia="Calibri" w:cs="Times New Roman"/>
          <w:b/>
          <w:kern w:val="0"/>
          <w:sz w:val="28"/>
          <w:szCs w:val="28"/>
        </w:rPr>
      </w:pPr>
      <w:bookmarkStart w:id="136" w:name="_Toc397975281"/>
      <w:r>
        <w:rPr>
          <w:rFonts w:hint="eastAsia" w:ascii="Calibri" w:hAnsi="Calibri" w:eastAsia="宋体" w:cs="Times New Roman"/>
          <w:b/>
          <w:kern w:val="0"/>
          <w:sz w:val="28"/>
          <w:szCs w:val="28"/>
        </w:rPr>
        <w:t>8</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合同授予</w:t>
      </w:r>
      <w:bookmarkEnd w:id="94"/>
      <w:bookmarkEnd w:id="95"/>
      <w:bookmarkEnd w:id="96"/>
      <w:bookmarkEnd w:id="97"/>
      <w:bookmarkEnd w:id="98"/>
      <w:bookmarkEnd w:id="99"/>
      <w:bookmarkEnd w:id="100"/>
      <w:bookmarkEnd w:id="101"/>
      <w:bookmarkEnd w:id="102"/>
      <w:bookmarkEnd w:id="131"/>
      <w:bookmarkEnd w:id="132"/>
      <w:bookmarkEnd w:id="136"/>
    </w:p>
    <w:p>
      <w:pPr>
        <w:spacing w:line="380" w:lineRule="exact"/>
        <w:outlineLvl w:val="2"/>
        <w:rPr>
          <w:rFonts w:ascii="Calibri" w:hAnsi="Calibri" w:eastAsia="Calibri" w:cs="Times New Roman"/>
          <w:b/>
          <w:bCs/>
          <w:sz w:val="28"/>
          <w:szCs w:val="28"/>
        </w:rPr>
      </w:pPr>
      <w:bookmarkStart w:id="137" w:name="_Toc246996954"/>
      <w:bookmarkStart w:id="138" w:name="_Toc152045567"/>
      <w:bookmarkStart w:id="139" w:name="_Toc366679698"/>
      <w:bookmarkStart w:id="140" w:name="_Toc246996211"/>
      <w:bookmarkStart w:id="141" w:name="_Toc144974535"/>
      <w:bookmarkStart w:id="142" w:name="_Toc179632585"/>
      <w:bookmarkStart w:id="143" w:name="_Toc247085725"/>
      <w:bookmarkStart w:id="144" w:name="_Toc397975282"/>
      <w:bookmarkStart w:id="145" w:name="_Toc152042343"/>
      <w:r>
        <w:rPr>
          <w:rFonts w:hint="eastAsia" w:ascii="Calibri" w:hAnsi="Calibri" w:eastAsia="宋体" w:cs="Times New Roman"/>
          <w:b/>
          <w:bCs/>
          <w:sz w:val="28"/>
          <w:szCs w:val="28"/>
        </w:rPr>
        <w:t>8</w:t>
      </w:r>
      <w:r>
        <w:rPr>
          <w:rFonts w:ascii="Calibri" w:hAnsi="Calibri" w:eastAsia="Calibri" w:cs="Times New Roman"/>
          <w:b/>
          <w:bCs/>
          <w:sz w:val="28"/>
          <w:szCs w:val="28"/>
        </w:rPr>
        <w:t xml:space="preserve">.1 </w:t>
      </w:r>
      <w:r>
        <w:rPr>
          <w:rFonts w:hint="eastAsia" w:ascii="宋体" w:hAnsi="宋体" w:eastAsia="宋体" w:cs="宋体"/>
          <w:b/>
          <w:bCs/>
          <w:sz w:val="28"/>
          <w:szCs w:val="28"/>
        </w:rPr>
        <w:t>定标方式</w:t>
      </w:r>
      <w:bookmarkEnd w:id="137"/>
      <w:bookmarkEnd w:id="138"/>
      <w:bookmarkEnd w:id="139"/>
      <w:bookmarkEnd w:id="140"/>
      <w:bookmarkEnd w:id="141"/>
      <w:bookmarkEnd w:id="142"/>
      <w:bookmarkEnd w:id="143"/>
      <w:bookmarkEnd w:id="144"/>
      <w:bookmarkEnd w:id="145"/>
    </w:p>
    <w:p>
      <w:pPr>
        <w:spacing w:line="380" w:lineRule="exact"/>
        <w:ind w:firstLine="420" w:firstLineChars="200"/>
        <w:rPr>
          <w:rFonts w:ascii="Calibri" w:hAnsi="Calibri" w:eastAsia="宋体" w:cs="Times New Roman"/>
          <w:szCs w:val="20"/>
        </w:rPr>
      </w:pPr>
      <w:bookmarkStart w:id="146" w:name="_Toc179632586"/>
      <w:bookmarkStart w:id="147" w:name="_Toc246996212"/>
      <w:bookmarkStart w:id="148" w:name="_Toc246996955"/>
      <w:bookmarkStart w:id="149" w:name="_Toc247085726"/>
      <w:bookmarkStart w:id="150" w:name="_Toc397975283"/>
      <w:bookmarkStart w:id="151" w:name="_Toc366679700"/>
      <w:r>
        <w:rPr>
          <w:rFonts w:hint="eastAsia" w:ascii="Calibri" w:hAnsi="Calibri" w:eastAsia="宋体" w:cs="Times New Roman"/>
          <w:szCs w:val="20"/>
        </w:rPr>
        <w:t>除“投标人须知前附表”规定评标委员会直接确定中标人外，招标人依据评标委员会推荐的中标候选人确定中标人，评标委员会推荐中标候选人的人数</w:t>
      </w:r>
      <w:r>
        <w:rPr>
          <w:rFonts w:hint="eastAsia" w:ascii="Calibri" w:hAnsi="Calibri" w:eastAsia="宋体" w:cs="Calibri"/>
          <w:kern w:val="0"/>
          <w:szCs w:val="21"/>
        </w:rPr>
        <w:t>不超过3个</w:t>
      </w:r>
      <w:r>
        <w:rPr>
          <w:rFonts w:ascii="Calibri" w:hAnsi="Calibri" w:eastAsia="宋体" w:cs="Times New Roman"/>
          <w:szCs w:val="20"/>
        </w:rPr>
        <w:t>。</w:t>
      </w:r>
    </w:p>
    <w:p>
      <w:pPr>
        <w:spacing w:line="380" w:lineRule="exact"/>
        <w:outlineLvl w:val="2"/>
        <w:rPr>
          <w:rFonts w:ascii="Calibri" w:hAnsi="Calibri" w:eastAsia="Calibri" w:cs="Times New Roman"/>
          <w:b/>
          <w:bCs/>
          <w:sz w:val="28"/>
          <w:szCs w:val="28"/>
        </w:rPr>
      </w:pPr>
      <w:r>
        <w:rPr>
          <w:rFonts w:hint="eastAsia" w:ascii="Calibri" w:hAnsi="Calibri" w:eastAsia="宋体" w:cs="Times New Roman"/>
          <w:b/>
          <w:bCs/>
          <w:sz w:val="28"/>
          <w:szCs w:val="28"/>
        </w:rPr>
        <w:t>8</w:t>
      </w:r>
      <w:r>
        <w:rPr>
          <w:rFonts w:hint="eastAsia" w:ascii="Calibri" w:hAnsi="Calibri" w:eastAsia="Calibri" w:cs="Times New Roman"/>
          <w:b/>
          <w:bCs/>
          <w:sz w:val="28"/>
          <w:szCs w:val="28"/>
        </w:rPr>
        <w:t>.2</w:t>
      </w:r>
      <w:r>
        <w:rPr>
          <w:rFonts w:hint="eastAsia" w:ascii="宋体" w:hAnsi="宋体" w:eastAsia="宋体" w:cs="宋体"/>
          <w:b/>
          <w:bCs/>
          <w:sz w:val="28"/>
          <w:szCs w:val="28"/>
        </w:rPr>
        <w:t>中标通知及中标结果公告</w:t>
      </w:r>
      <w:bookmarkEnd w:id="146"/>
      <w:bookmarkEnd w:id="147"/>
      <w:bookmarkEnd w:id="148"/>
      <w:bookmarkEnd w:id="149"/>
      <w:bookmarkEnd w:id="150"/>
      <w:bookmarkEnd w:id="151"/>
    </w:p>
    <w:p>
      <w:pPr>
        <w:spacing w:line="380" w:lineRule="exact"/>
        <w:ind w:firstLine="420" w:firstLineChars="200"/>
        <w:rPr>
          <w:rFonts w:ascii="Calibri" w:hAnsi="Calibri" w:eastAsia="宋体" w:cs="Calibri"/>
          <w:szCs w:val="21"/>
        </w:rPr>
      </w:pPr>
      <w:bookmarkStart w:id="152" w:name="_Toc179632587"/>
      <w:bookmarkStart w:id="153" w:name="_Toc247085727"/>
      <w:bookmarkStart w:id="154" w:name="_Toc366679701"/>
      <w:bookmarkStart w:id="155" w:name="_Toc246996956"/>
      <w:bookmarkStart w:id="156" w:name="_Toc246996213"/>
      <w:r>
        <w:rPr>
          <w:rFonts w:hint="eastAsia" w:ascii="Calibri" w:hAnsi="Calibri" w:eastAsia="宋体" w:cs="Calibri"/>
          <w:szCs w:val="21"/>
        </w:rPr>
        <w:t>评标结果公示期满无异议或投诉的，招标人在</w:t>
      </w:r>
      <w:r>
        <w:rPr>
          <w:rFonts w:hint="eastAsia" w:ascii="Calibri" w:hAnsi="Calibri" w:eastAsia="宋体" w:cs="Times New Roman"/>
          <w:szCs w:val="21"/>
        </w:rPr>
        <w:t>“</w:t>
      </w:r>
      <w:r>
        <w:rPr>
          <w:rFonts w:hint="eastAsia" w:ascii="Calibri" w:hAnsi="Calibri" w:eastAsia="宋体" w:cs="Calibri"/>
          <w:szCs w:val="21"/>
        </w:rPr>
        <w:t>电子招标投标交易平台</w:t>
      </w:r>
      <w:r>
        <w:rPr>
          <w:rFonts w:hint="eastAsia" w:ascii="Calibri" w:hAnsi="Calibri" w:eastAsia="宋体" w:cs="Times New Roman"/>
          <w:szCs w:val="21"/>
        </w:rPr>
        <w:t>”</w:t>
      </w:r>
      <w:r>
        <w:rPr>
          <w:rFonts w:hint="eastAsia" w:ascii="Calibri" w:hAnsi="Calibri" w:eastAsia="宋体" w:cs="Calibri"/>
          <w:szCs w:val="21"/>
        </w:rPr>
        <w:t>发出中标结果公告，将中标结果通知未中标的投标人，并向中标人发出中标通知书。</w:t>
      </w:r>
    </w:p>
    <w:p>
      <w:pPr>
        <w:spacing w:line="380" w:lineRule="exact"/>
        <w:outlineLvl w:val="2"/>
        <w:rPr>
          <w:rFonts w:ascii="Calibri" w:hAnsi="Calibri" w:eastAsia="Calibri" w:cs="Times New Roman"/>
          <w:b/>
          <w:bCs/>
          <w:sz w:val="28"/>
          <w:szCs w:val="28"/>
        </w:rPr>
      </w:pPr>
      <w:bookmarkStart w:id="157" w:name="_Toc397975284"/>
      <w:r>
        <w:rPr>
          <w:rFonts w:hint="eastAsia" w:ascii="Calibri" w:hAnsi="Calibri" w:eastAsia="宋体" w:cs="Times New Roman"/>
          <w:b/>
          <w:bCs/>
          <w:sz w:val="28"/>
          <w:szCs w:val="28"/>
        </w:rPr>
        <w:t>8</w:t>
      </w:r>
      <w:r>
        <w:rPr>
          <w:rFonts w:hint="eastAsia" w:ascii="Calibri" w:hAnsi="Calibri" w:eastAsia="Calibri" w:cs="Times New Roman"/>
          <w:b/>
          <w:bCs/>
          <w:sz w:val="28"/>
          <w:szCs w:val="28"/>
        </w:rPr>
        <w:t xml:space="preserve">.3 </w:t>
      </w:r>
      <w:r>
        <w:rPr>
          <w:rFonts w:hint="eastAsia" w:ascii="宋体" w:hAnsi="宋体" w:eastAsia="宋体" w:cs="宋体"/>
          <w:b/>
          <w:bCs/>
          <w:sz w:val="28"/>
          <w:szCs w:val="28"/>
        </w:rPr>
        <w:t>履约保证金</w:t>
      </w:r>
      <w:bookmarkEnd w:id="152"/>
      <w:bookmarkEnd w:id="153"/>
      <w:bookmarkEnd w:id="154"/>
      <w:bookmarkEnd w:id="155"/>
      <w:bookmarkEnd w:id="156"/>
      <w:bookmarkEnd w:id="157"/>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.1在签订合同前，中标人应按</w:t>
      </w:r>
      <w:r>
        <w:rPr>
          <w:rFonts w:hint="eastAsia" w:ascii="Calibri" w:hAnsi="Calibri" w:eastAsia="宋体" w:cs="Times New Roman"/>
          <w:szCs w:val="21"/>
        </w:rPr>
        <w:t>“</w:t>
      </w:r>
      <w:r>
        <w:rPr>
          <w:rFonts w:ascii="Calibri" w:hAnsi="Calibri" w:eastAsia="宋体" w:cs="Times New Roman"/>
          <w:szCs w:val="21"/>
        </w:rPr>
        <w:t>投标人须知前附表</w:t>
      </w:r>
      <w:r>
        <w:rPr>
          <w:rFonts w:hint="eastAsia" w:ascii="Calibri" w:hAnsi="Calibri" w:eastAsia="宋体" w:cs="Times New Roman"/>
          <w:szCs w:val="21"/>
        </w:rPr>
        <w:t>”</w:t>
      </w:r>
      <w:r>
        <w:rPr>
          <w:rFonts w:ascii="Calibri" w:hAnsi="Calibri" w:eastAsia="宋体" w:cs="Times New Roman"/>
          <w:szCs w:val="21"/>
        </w:rPr>
        <w:t>规定的</w:t>
      </w:r>
      <w:r>
        <w:rPr>
          <w:rFonts w:hint="eastAsia" w:ascii="Calibri" w:hAnsi="Calibri" w:eastAsia="宋体" w:cs="Times New Roman"/>
          <w:szCs w:val="21"/>
        </w:rPr>
        <w:t>金额、担保</w:t>
      </w:r>
      <w:r>
        <w:rPr>
          <w:rFonts w:ascii="Calibri" w:hAnsi="Calibri" w:eastAsia="宋体" w:cs="Times New Roman"/>
          <w:szCs w:val="21"/>
        </w:rPr>
        <w:t>形式和招标文件“合同条款及格式”规定的履约保证金格式向招标人提交履约保证金。联合体中标的，其履约保证金由牵头人递交</w:t>
      </w:r>
      <w:r>
        <w:rPr>
          <w:rFonts w:hint="eastAsia" w:ascii="Calibri" w:hAnsi="Calibri" w:eastAsia="宋体" w:cs="Times New Roman"/>
          <w:szCs w:val="21"/>
        </w:rPr>
        <w:t>，</w:t>
      </w:r>
      <w:r>
        <w:rPr>
          <w:rFonts w:hint="eastAsia" w:ascii="Calibri" w:hAnsi="Calibri" w:eastAsia="宋体" w:cs="Calibri"/>
          <w:szCs w:val="21"/>
        </w:rPr>
        <w:t>并应符合“投标人须知前附表”规定的金额、担保形式和招标文件“合同条款及格式”规定的履约担保格式要求。</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.2 中标人不能按本章第</w:t>
      </w: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.1项要求提交履约保证金的，视为放弃中标，其投标保证金不予退还，给招标人造成的损失超过投标保证金数额的，中标人还应当对超过部分予以赔偿。</w:t>
      </w:r>
    </w:p>
    <w:p>
      <w:pPr>
        <w:spacing w:line="380" w:lineRule="exact"/>
        <w:outlineLvl w:val="2"/>
        <w:rPr>
          <w:rFonts w:ascii="Calibri" w:hAnsi="Calibri" w:eastAsia="Calibri" w:cs="Times New Roman"/>
          <w:b/>
          <w:bCs/>
          <w:sz w:val="28"/>
          <w:szCs w:val="28"/>
        </w:rPr>
      </w:pPr>
      <w:bookmarkStart w:id="158" w:name="_Toc179632588"/>
      <w:bookmarkStart w:id="159" w:name="_Toc397975285"/>
      <w:bookmarkStart w:id="160" w:name="_Toc247085728"/>
      <w:bookmarkStart w:id="161" w:name="_Toc366679702"/>
      <w:bookmarkStart w:id="162" w:name="_Toc246996957"/>
      <w:bookmarkStart w:id="163" w:name="_Toc246996214"/>
      <w:r>
        <w:rPr>
          <w:rFonts w:hint="eastAsia" w:ascii="Calibri" w:hAnsi="Calibri" w:eastAsia="宋体" w:cs="Times New Roman"/>
          <w:b/>
          <w:bCs/>
          <w:sz w:val="28"/>
          <w:szCs w:val="28"/>
        </w:rPr>
        <w:t>8</w:t>
      </w:r>
      <w:r>
        <w:rPr>
          <w:rFonts w:hint="eastAsia" w:ascii="Calibri" w:hAnsi="Calibri" w:eastAsia="Calibri" w:cs="Times New Roman"/>
          <w:b/>
          <w:bCs/>
          <w:sz w:val="28"/>
          <w:szCs w:val="28"/>
        </w:rPr>
        <w:t>.4</w:t>
      </w:r>
      <w:r>
        <w:rPr>
          <w:rFonts w:hint="eastAsia" w:ascii="宋体" w:hAnsi="宋体" w:eastAsia="宋体" w:cs="宋体"/>
          <w:b/>
          <w:bCs/>
          <w:sz w:val="28"/>
          <w:szCs w:val="28"/>
        </w:rPr>
        <w:t>签订合同</w:t>
      </w:r>
      <w:bookmarkEnd w:id="158"/>
      <w:bookmarkEnd w:id="159"/>
      <w:bookmarkEnd w:id="160"/>
      <w:bookmarkEnd w:id="161"/>
      <w:bookmarkEnd w:id="162"/>
      <w:bookmarkEnd w:id="163"/>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.1招标人和中标人应当</w:t>
      </w:r>
      <w:r>
        <w:rPr>
          <w:rFonts w:hint="eastAsia" w:ascii="Calibri" w:hAnsi="Calibri" w:eastAsia="宋体" w:cs="Times New Roman"/>
          <w:szCs w:val="21"/>
        </w:rPr>
        <w:t>在投标有效期内以及</w:t>
      </w:r>
      <w:r>
        <w:rPr>
          <w:rFonts w:ascii="Calibri" w:hAnsi="Calibri" w:eastAsia="宋体" w:cs="Times New Roman"/>
          <w:szCs w:val="21"/>
        </w:rPr>
        <w:t>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int="eastAsia" w:ascii="Calibri" w:hAnsi="Calibri" w:eastAsia="宋体" w:cs="Calibri"/>
          <w:szCs w:val="21"/>
        </w:rPr>
        <w:t>对依法必须进行招标的项目的中标人，由有关行政监督部门责令改正。</w:t>
      </w:r>
    </w:p>
    <w:p>
      <w:pPr>
        <w:spacing w:line="380" w:lineRule="exact"/>
        <w:ind w:firstLine="420" w:firstLineChars="200"/>
        <w:rPr>
          <w:rFonts w:ascii="Calibri" w:hAnsi="Calibri" w:eastAsia="宋体" w:cs="Calibri"/>
          <w:szCs w:val="21"/>
        </w:rPr>
      </w:pPr>
      <w:r>
        <w:rPr>
          <w:rFonts w:hint="eastAsia" w:ascii="Calibri" w:hAnsi="Calibri" w:eastAsia="宋体" w:cs="Times New Roman"/>
          <w:szCs w:val="21"/>
        </w:rPr>
        <w:t>8.4.2</w:t>
      </w:r>
      <w:r>
        <w:rPr>
          <w:rFonts w:hint="eastAsia" w:ascii="Calibri" w:hAnsi="Calibri" w:eastAsia="宋体" w:cs="Calibri"/>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招标人也可以重新招标。</w:t>
      </w:r>
    </w:p>
    <w:p>
      <w:pPr>
        <w:spacing w:line="380" w:lineRule="exact"/>
        <w:ind w:firstLine="420" w:firstLineChars="200"/>
        <w:rPr>
          <w:rFonts w:ascii="Calibri" w:hAnsi="Calibri" w:eastAsia="宋体" w:cs="Times New Roman"/>
          <w:szCs w:val="21"/>
        </w:rPr>
      </w:pPr>
      <w:r>
        <w:rPr>
          <w:rFonts w:hint="eastAsia" w:ascii="Calibri" w:hAnsi="Calibri" w:eastAsia="宋体" w:cs="Times New Roman"/>
          <w:szCs w:val="21"/>
        </w:rPr>
        <w:t>8</w:t>
      </w:r>
      <w:r>
        <w:rPr>
          <w:rFonts w:ascii="Calibri" w:hAnsi="Calibri" w:eastAsia="宋体" w:cs="Times New Roman"/>
          <w:szCs w:val="21"/>
        </w:rPr>
        <w:t>.</w:t>
      </w:r>
      <w:r>
        <w:rPr>
          <w:rFonts w:hint="eastAsia" w:ascii="Calibri" w:hAnsi="Calibri" w:eastAsia="宋体" w:cs="Times New Roman"/>
          <w:szCs w:val="21"/>
        </w:rPr>
        <w:t>4</w:t>
      </w:r>
      <w:r>
        <w:rPr>
          <w:rFonts w:ascii="Calibri" w:hAnsi="Calibri" w:eastAsia="宋体" w:cs="Times New Roman"/>
          <w:szCs w:val="21"/>
        </w:rPr>
        <w:t>.</w:t>
      </w:r>
      <w:r>
        <w:rPr>
          <w:rFonts w:hint="eastAsia" w:ascii="Calibri" w:hAnsi="Calibri" w:eastAsia="宋体" w:cs="Times New Roman"/>
          <w:szCs w:val="21"/>
        </w:rPr>
        <w:t>3</w:t>
      </w:r>
      <w:r>
        <w:rPr>
          <w:rFonts w:ascii="Calibri" w:hAnsi="Calibri" w:eastAsia="宋体" w:cs="Times New Roman"/>
          <w:szCs w:val="21"/>
        </w:rPr>
        <w:t xml:space="preserve"> 发出中标通知书后，招标人无正当理由拒签合同的，</w:t>
      </w:r>
      <w:r>
        <w:rPr>
          <w:rFonts w:hint="eastAsia" w:ascii="Calibri" w:hAnsi="Calibri" w:eastAsia="宋体" w:cs="Calibri"/>
          <w:szCs w:val="21"/>
        </w:rPr>
        <w:t>由有关行政监督部门给予警告，责令改正。同时</w:t>
      </w:r>
      <w:r>
        <w:rPr>
          <w:rFonts w:ascii="Calibri" w:hAnsi="Calibri" w:eastAsia="宋体" w:cs="Times New Roman"/>
          <w:szCs w:val="21"/>
        </w:rPr>
        <w:t>招标人向中标人退还投标保证金；给中标人造成损失的，还应当赔偿损失。</w:t>
      </w:r>
      <w:bookmarkEnd w:id="84"/>
      <w:bookmarkEnd w:id="85"/>
      <w:bookmarkEnd w:id="86"/>
      <w:bookmarkEnd w:id="87"/>
      <w:bookmarkStart w:id="164" w:name="_Toc322503149"/>
      <w:bookmarkStart w:id="165" w:name="_Toc363329380"/>
    </w:p>
    <w:p>
      <w:pPr>
        <w:spacing w:line="380" w:lineRule="exact"/>
        <w:jc w:val="left"/>
        <w:outlineLvl w:val="1"/>
        <w:rPr>
          <w:rFonts w:ascii="Calibri" w:hAnsi="Calibri" w:eastAsia="Calibri" w:cs="Times New Roman"/>
          <w:b/>
          <w:kern w:val="0"/>
          <w:sz w:val="28"/>
          <w:szCs w:val="28"/>
        </w:rPr>
      </w:pPr>
      <w:bookmarkStart w:id="166" w:name="_Toc368759383"/>
      <w:bookmarkStart w:id="167" w:name="_Toc368760435"/>
      <w:bookmarkStart w:id="168" w:name="_Toc369077569"/>
      <w:bookmarkStart w:id="169" w:name="_Toc367894807"/>
      <w:bookmarkStart w:id="170" w:name="_Toc397975286"/>
      <w:r>
        <w:rPr>
          <w:rFonts w:hint="eastAsia" w:ascii="Calibri" w:hAnsi="Calibri" w:eastAsia="宋体" w:cs="Times New Roman"/>
          <w:b/>
          <w:kern w:val="0"/>
          <w:sz w:val="28"/>
          <w:szCs w:val="28"/>
        </w:rPr>
        <w:t>9</w:t>
      </w:r>
      <w:r>
        <w:rPr>
          <w:rFonts w:ascii="Calibri" w:hAnsi="Calibri" w:eastAsia="Calibri" w:cs="Times New Roman"/>
          <w:b/>
          <w:kern w:val="0"/>
          <w:sz w:val="28"/>
          <w:szCs w:val="28"/>
        </w:rPr>
        <w:t>.</w:t>
      </w:r>
      <w:r>
        <w:rPr>
          <w:rFonts w:hint="eastAsia" w:ascii="Calibri" w:hAnsi="Calibri" w:eastAsia="Calibri" w:cs="Times New Roman"/>
          <w:b/>
          <w:kern w:val="0"/>
          <w:sz w:val="28"/>
          <w:szCs w:val="28"/>
        </w:rPr>
        <w:t xml:space="preserve"> </w:t>
      </w:r>
      <w:r>
        <w:rPr>
          <w:rFonts w:hint="eastAsia" w:ascii="宋体" w:hAnsi="宋体" w:eastAsia="宋体" w:cs="宋体"/>
          <w:b/>
          <w:kern w:val="0"/>
          <w:sz w:val="28"/>
          <w:szCs w:val="28"/>
        </w:rPr>
        <w:t>纪律和监督</w:t>
      </w:r>
      <w:bookmarkEnd w:id="164"/>
      <w:bookmarkEnd w:id="165"/>
      <w:bookmarkEnd w:id="166"/>
      <w:bookmarkEnd w:id="167"/>
      <w:bookmarkEnd w:id="168"/>
      <w:bookmarkEnd w:id="169"/>
      <w:bookmarkEnd w:id="170"/>
    </w:p>
    <w:p>
      <w:pPr>
        <w:spacing w:line="380" w:lineRule="exact"/>
        <w:outlineLvl w:val="2"/>
        <w:rPr>
          <w:rFonts w:ascii="Calibri" w:hAnsi="Calibri" w:eastAsia="Calibri" w:cs="Times New Roman"/>
          <w:b/>
          <w:bCs/>
          <w:sz w:val="28"/>
          <w:szCs w:val="28"/>
        </w:rPr>
      </w:pPr>
      <w:bookmarkStart w:id="171" w:name="_Toc397975287"/>
      <w:bookmarkStart w:id="172" w:name="_Toc322503150"/>
      <w:bookmarkStart w:id="173" w:name="_Toc152042351"/>
      <w:bookmarkStart w:id="174" w:name="_Toc144974543"/>
      <w:bookmarkStart w:id="175" w:name="_Toc152045575"/>
      <w:bookmarkStart w:id="176" w:name="_Toc269310963"/>
      <w:r>
        <w:rPr>
          <w:rFonts w:hint="eastAsia" w:ascii="Calibri" w:hAnsi="Calibri" w:eastAsia="宋体" w:cs="Times New Roman"/>
          <w:b/>
          <w:bCs/>
          <w:sz w:val="28"/>
          <w:szCs w:val="28"/>
        </w:rPr>
        <w:t>9</w:t>
      </w:r>
      <w:r>
        <w:rPr>
          <w:rFonts w:ascii="Calibri" w:hAnsi="Calibri" w:eastAsia="Calibri" w:cs="Times New Roman"/>
          <w:b/>
          <w:bCs/>
          <w:sz w:val="28"/>
          <w:szCs w:val="28"/>
        </w:rPr>
        <w:t xml:space="preserve">.1 </w:t>
      </w:r>
      <w:r>
        <w:rPr>
          <w:rFonts w:hint="eastAsia" w:ascii="宋体" w:hAnsi="宋体" w:eastAsia="宋体" w:cs="宋体"/>
          <w:b/>
          <w:bCs/>
          <w:sz w:val="28"/>
          <w:szCs w:val="28"/>
        </w:rPr>
        <w:t>对招标人的纪律要求</w:t>
      </w:r>
      <w:bookmarkEnd w:id="171"/>
      <w:bookmarkEnd w:id="172"/>
      <w:bookmarkEnd w:id="173"/>
      <w:bookmarkEnd w:id="174"/>
      <w:bookmarkEnd w:id="175"/>
      <w:bookmarkEnd w:id="176"/>
    </w:p>
    <w:p>
      <w:pPr>
        <w:spacing w:line="380" w:lineRule="exact"/>
        <w:ind w:firstLine="420"/>
        <w:rPr>
          <w:rFonts w:ascii="Calibri" w:hAnsi="Calibri" w:eastAsia="宋体" w:cs="Times New Roman"/>
          <w:szCs w:val="21"/>
        </w:rPr>
      </w:pPr>
      <w:r>
        <w:rPr>
          <w:rFonts w:ascii="Calibri" w:hAnsi="Calibri" w:eastAsia="宋体" w:cs="Times New Roman"/>
          <w:szCs w:val="21"/>
        </w:rPr>
        <w:t>招标人不得泄露招标投标活动中应当保密的情况和资料，不得与投标人串通损害国家利益、社会公众利益或者他人合法权益。</w:t>
      </w:r>
    </w:p>
    <w:p>
      <w:pPr>
        <w:spacing w:line="380" w:lineRule="exact"/>
        <w:outlineLvl w:val="2"/>
        <w:rPr>
          <w:rFonts w:ascii="Calibri" w:hAnsi="Calibri" w:eastAsia="Calibri" w:cs="Times New Roman"/>
          <w:b/>
          <w:bCs/>
          <w:sz w:val="28"/>
          <w:szCs w:val="28"/>
        </w:rPr>
      </w:pPr>
      <w:bookmarkStart w:id="177" w:name="_Toc152042352"/>
      <w:bookmarkStart w:id="178" w:name="_Toc152045576"/>
      <w:bookmarkStart w:id="179" w:name="_Toc269310964"/>
      <w:bookmarkStart w:id="180" w:name="_Toc397975288"/>
      <w:bookmarkStart w:id="181" w:name="_Toc144974544"/>
      <w:bookmarkStart w:id="182" w:name="_Toc322503151"/>
      <w:r>
        <w:rPr>
          <w:rFonts w:hint="eastAsia" w:ascii="Calibri" w:hAnsi="Calibri" w:eastAsia="宋体" w:cs="Times New Roman"/>
          <w:b/>
          <w:bCs/>
          <w:sz w:val="28"/>
          <w:szCs w:val="28"/>
        </w:rPr>
        <w:t>9</w:t>
      </w:r>
      <w:r>
        <w:rPr>
          <w:rFonts w:ascii="Calibri" w:hAnsi="Calibri" w:eastAsia="Calibri" w:cs="Times New Roman"/>
          <w:b/>
          <w:bCs/>
          <w:sz w:val="28"/>
          <w:szCs w:val="28"/>
        </w:rPr>
        <w:t xml:space="preserve">.2 </w:t>
      </w:r>
      <w:r>
        <w:rPr>
          <w:rFonts w:hint="eastAsia" w:ascii="宋体" w:hAnsi="宋体" w:eastAsia="宋体" w:cs="宋体"/>
          <w:b/>
          <w:bCs/>
          <w:sz w:val="28"/>
          <w:szCs w:val="28"/>
        </w:rPr>
        <w:t>对投标人的纪律要求</w:t>
      </w:r>
      <w:bookmarkEnd w:id="177"/>
      <w:bookmarkEnd w:id="178"/>
      <w:bookmarkEnd w:id="179"/>
      <w:bookmarkEnd w:id="180"/>
      <w:bookmarkEnd w:id="181"/>
      <w:bookmarkEnd w:id="182"/>
    </w:p>
    <w:p>
      <w:pPr>
        <w:spacing w:line="380" w:lineRule="exact"/>
        <w:ind w:firstLine="420"/>
        <w:rPr>
          <w:rFonts w:ascii="Calibri" w:hAnsi="Calibri" w:eastAsia="宋体" w:cs="Times New Roman"/>
          <w:szCs w:val="21"/>
        </w:rPr>
      </w:pPr>
      <w:bookmarkStart w:id="183" w:name="_Toc144974545"/>
      <w:bookmarkStart w:id="184" w:name="_Toc152045577"/>
      <w:bookmarkStart w:id="185" w:name="_Toc152042353"/>
      <w:bookmarkStart w:id="186" w:name="_Toc322503152"/>
      <w:bookmarkStart w:id="187" w:name="_Toc269310965"/>
      <w:r>
        <w:rPr>
          <w:rFonts w:ascii="Calibri" w:hAnsi="Calibri" w:eastAsia="宋体" w:cs="Times New Roman"/>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80" w:lineRule="exact"/>
        <w:outlineLvl w:val="2"/>
        <w:rPr>
          <w:rFonts w:ascii="Calibri" w:hAnsi="Calibri" w:eastAsia="Calibri" w:cs="Times New Roman"/>
          <w:b/>
          <w:bCs/>
          <w:sz w:val="28"/>
          <w:szCs w:val="28"/>
        </w:rPr>
      </w:pPr>
      <w:bookmarkStart w:id="188" w:name="_Toc397975289"/>
      <w:r>
        <w:rPr>
          <w:rFonts w:hint="eastAsia" w:ascii="Calibri" w:hAnsi="Calibri" w:eastAsia="宋体" w:cs="Times New Roman"/>
          <w:b/>
          <w:bCs/>
          <w:sz w:val="28"/>
          <w:szCs w:val="28"/>
        </w:rPr>
        <w:t>9</w:t>
      </w:r>
      <w:r>
        <w:rPr>
          <w:rFonts w:ascii="Calibri" w:hAnsi="Calibri" w:eastAsia="Calibri" w:cs="Times New Roman"/>
          <w:b/>
          <w:bCs/>
          <w:sz w:val="28"/>
          <w:szCs w:val="28"/>
        </w:rPr>
        <w:t xml:space="preserve">.3 </w:t>
      </w:r>
      <w:r>
        <w:rPr>
          <w:rFonts w:hint="eastAsia" w:ascii="宋体" w:hAnsi="宋体" w:eastAsia="宋体" w:cs="宋体"/>
          <w:b/>
          <w:bCs/>
          <w:sz w:val="28"/>
          <w:szCs w:val="28"/>
        </w:rPr>
        <w:t>对评标委员会成员的纪律要求</w:t>
      </w:r>
      <w:bookmarkEnd w:id="183"/>
      <w:bookmarkEnd w:id="184"/>
      <w:bookmarkEnd w:id="185"/>
      <w:bookmarkEnd w:id="186"/>
      <w:bookmarkEnd w:id="187"/>
      <w:bookmarkEnd w:id="188"/>
    </w:p>
    <w:p>
      <w:pPr>
        <w:spacing w:line="380" w:lineRule="exact"/>
        <w:ind w:firstLine="420"/>
        <w:rPr>
          <w:rFonts w:ascii="Calibri" w:hAnsi="Calibri" w:eastAsia="宋体" w:cs="Times New Roman"/>
          <w:szCs w:val="21"/>
        </w:rPr>
      </w:pPr>
      <w:bookmarkStart w:id="189" w:name="_Toc152045578"/>
      <w:bookmarkStart w:id="190" w:name="_Toc246996222"/>
      <w:bookmarkStart w:id="191" w:name="_Toc152042354"/>
      <w:bookmarkStart w:id="192" w:name="_Toc246996965"/>
      <w:bookmarkStart w:id="193" w:name="_Toc179632596"/>
      <w:bookmarkStart w:id="194" w:name="_Toc247085736"/>
      <w:bookmarkStart w:id="195" w:name="_Toc366679707"/>
      <w:bookmarkStart w:id="196" w:name="_Toc144974546"/>
      <w:r>
        <w:rPr>
          <w:rFonts w:ascii="Calibri" w:hAnsi="Calibri" w:eastAsia="宋体" w:cs="Times New Roman"/>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spacing w:line="380" w:lineRule="exact"/>
        <w:outlineLvl w:val="2"/>
        <w:rPr>
          <w:rFonts w:ascii="Calibri" w:hAnsi="Calibri" w:eastAsia="Calibri" w:cs="Times New Roman"/>
          <w:b/>
          <w:bCs/>
          <w:sz w:val="28"/>
          <w:szCs w:val="28"/>
        </w:rPr>
      </w:pPr>
      <w:bookmarkStart w:id="197" w:name="_Toc397975290"/>
      <w:r>
        <w:rPr>
          <w:rFonts w:hint="eastAsia" w:ascii="Calibri" w:hAnsi="Calibri" w:eastAsia="宋体" w:cs="Times New Roman"/>
          <w:b/>
          <w:bCs/>
          <w:sz w:val="28"/>
          <w:szCs w:val="28"/>
        </w:rPr>
        <w:t>9</w:t>
      </w:r>
      <w:r>
        <w:rPr>
          <w:rFonts w:ascii="Calibri" w:hAnsi="Calibri" w:eastAsia="Calibri" w:cs="Times New Roman"/>
          <w:b/>
          <w:bCs/>
          <w:sz w:val="28"/>
          <w:szCs w:val="28"/>
        </w:rPr>
        <w:t xml:space="preserve">.4 </w:t>
      </w:r>
      <w:r>
        <w:rPr>
          <w:rFonts w:hint="eastAsia" w:ascii="宋体" w:hAnsi="宋体" w:eastAsia="宋体" w:cs="宋体"/>
          <w:b/>
          <w:bCs/>
          <w:sz w:val="28"/>
          <w:szCs w:val="28"/>
        </w:rPr>
        <w:t>对与评标活动有关的工作人员的纪律要求</w:t>
      </w:r>
      <w:bookmarkEnd w:id="189"/>
      <w:bookmarkEnd w:id="190"/>
      <w:bookmarkEnd w:id="191"/>
      <w:bookmarkEnd w:id="192"/>
      <w:bookmarkEnd w:id="193"/>
      <w:bookmarkEnd w:id="194"/>
      <w:bookmarkEnd w:id="195"/>
      <w:bookmarkEnd w:id="197"/>
    </w:p>
    <w:p>
      <w:pPr>
        <w:spacing w:line="380" w:lineRule="exact"/>
        <w:ind w:firstLine="420"/>
        <w:rPr>
          <w:rFonts w:ascii="Calibri" w:hAnsi="Calibri" w:eastAsia="宋体" w:cs="Times New Roman"/>
          <w:szCs w:val="21"/>
        </w:rPr>
      </w:pPr>
      <w:bookmarkStart w:id="198" w:name="_Toc152042355"/>
      <w:bookmarkStart w:id="199" w:name="_Toc179632597"/>
      <w:bookmarkStart w:id="200" w:name="_Toc246996223"/>
      <w:bookmarkStart w:id="201" w:name="_Toc152042356"/>
      <w:bookmarkStart w:id="202" w:name="_Toc152045579"/>
      <w:bookmarkStart w:id="203" w:name="_Toc366679708"/>
      <w:bookmarkStart w:id="204" w:name="_Toc246996966"/>
      <w:bookmarkStart w:id="205" w:name="_Toc247085737"/>
      <w:r>
        <w:rPr>
          <w:rFonts w:ascii="Calibri" w:hAnsi="Calibri" w:eastAsia="宋体" w:cs="Times New Roman"/>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8"/>
    </w:p>
    <w:p>
      <w:pPr>
        <w:spacing w:line="380" w:lineRule="exact"/>
        <w:outlineLvl w:val="2"/>
        <w:rPr>
          <w:rFonts w:ascii="Calibri" w:hAnsi="Calibri" w:eastAsia="Calibri" w:cs="Times New Roman"/>
          <w:b/>
          <w:bCs/>
          <w:sz w:val="28"/>
          <w:szCs w:val="28"/>
        </w:rPr>
      </w:pPr>
      <w:bookmarkStart w:id="206" w:name="_Toc397975291"/>
      <w:r>
        <w:rPr>
          <w:rFonts w:hint="eastAsia" w:ascii="Calibri" w:hAnsi="Calibri" w:eastAsia="宋体" w:cs="Times New Roman"/>
          <w:b/>
          <w:bCs/>
          <w:sz w:val="28"/>
          <w:szCs w:val="28"/>
        </w:rPr>
        <w:t>9</w:t>
      </w:r>
      <w:r>
        <w:rPr>
          <w:rFonts w:ascii="Calibri" w:hAnsi="Calibri" w:eastAsia="Calibri" w:cs="Times New Roman"/>
          <w:b/>
          <w:bCs/>
          <w:sz w:val="28"/>
          <w:szCs w:val="28"/>
        </w:rPr>
        <w:t xml:space="preserve">.5 </w:t>
      </w:r>
      <w:r>
        <w:rPr>
          <w:rFonts w:hint="eastAsia" w:ascii="宋体" w:hAnsi="宋体" w:eastAsia="宋体" w:cs="宋体"/>
          <w:b/>
          <w:bCs/>
          <w:sz w:val="28"/>
          <w:szCs w:val="28"/>
        </w:rPr>
        <w:t>异议与投诉</w:t>
      </w:r>
      <w:bookmarkEnd w:id="196"/>
      <w:bookmarkEnd w:id="199"/>
      <w:bookmarkEnd w:id="200"/>
      <w:bookmarkEnd w:id="201"/>
      <w:bookmarkEnd w:id="202"/>
      <w:bookmarkEnd w:id="203"/>
      <w:bookmarkEnd w:id="204"/>
      <w:bookmarkEnd w:id="205"/>
      <w:bookmarkEnd w:id="206"/>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9.5.1异议</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1）投标人或者其他利害关系人对招标文件有异议的，应当在投标截止时间10日前以书面形式提出。招标人自收到异议之日起3日内作出答复，特殊情况下，需要延长答复时间的，将书面告知异议提出人；作出答复前，招标人将暂停后续招标投标活动。</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（2）投标人对开标的程序和结果有异议的，应当在开标现场提出，招标人将当场作出答复，并制作记录。</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（3）投标人或者其他利害关系人对评标结果有异议的，应当在评标结果公示期间提出。</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前述异议事项，异议提出人未按程序和规定时间提出的，招标人不予受理。同时，亦将丧失进一步提出投诉的权利。</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9.5.2投诉</w:t>
      </w:r>
    </w:p>
    <w:p>
      <w:pPr>
        <w:spacing w:line="380" w:lineRule="exact"/>
        <w:ind w:firstLine="420" w:firstLineChars="200"/>
        <w:rPr>
          <w:rFonts w:ascii="Calibri" w:hAnsi="Calibri" w:eastAsia="宋体" w:cs="Calibri"/>
          <w:szCs w:val="20"/>
        </w:rPr>
      </w:pPr>
      <w:r>
        <w:rPr>
          <w:rFonts w:hint="eastAsia" w:ascii="Calibri" w:hAnsi="Calibri" w:eastAsia="宋体" w:cs="Calibri"/>
          <w:szCs w:val="20"/>
        </w:rPr>
        <w:t>投标人和其他利害关系人认为本次招标活动违反法律、法规和规章规定的，可以在知道或者应当知道之日起10日内向“投标人须知前附表”明确的招投标监督管理部门提出书面投诉。投诉应当有明确的请求和必要的证明材料。就第9.5.1项</w:t>
      </w:r>
      <w:r>
        <w:rPr>
          <w:rFonts w:hint="eastAsia" w:ascii="Calibri" w:hAnsi="Calibri" w:eastAsia="宋体" w:cs="Calibri"/>
          <w:szCs w:val="21"/>
        </w:rPr>
        <w:t>规定事项提出投诉的，</w:t>
      </w:r>
      <w:r>
        <w:rPr>
          <w:rFonts w:hint="eastAsia" w:ascii="Calibri" w:hAnsi="Calibri" w:eastAsia="宋体" w:cs="Calibri"/>
          <w:szCs w:val="20"/>
        </w:rPr>
        <w:t>应先向招标人提出异议。</w:t>
      </w:r>
    </w:p>
    <w:p>
      <w:pPr>
        <w:spacing w:line="380" w:lineRule="exact"/>
        <w:jc w:val="left"/>
        <w:outlineLvl w:val="0"/>
        <w:rPr>
          <w:rFonts w:ascii="Calibri" w:hAnsi="Calibri" w:eastAsia="Calibri" w:cs="Calibri"/>
          <w:b/>
          <w:bCs/>
          <w:kern w:val="0"/>
          <w:sz w:val="32"/>
          <w:szCs w:val="20"/>
        </w:rPr>
      </w:pPr>
      <w:r>
        <w:rPr>
          <w:rFonts w:hint="eastAsia" w:ascii="Calibri" w:hAnsi="Calibri" w:eastAsia="宋体" w:cs="Calibri"/>
          <w:b/>
          <w:kern w:val="0"/>
          <w:sz w:val="28"/>
          <w:szCs w:val="28"/>
        </w:rPr>
        <w:t>10</w:t>
      </w:r>
      <w:r>
        <w:rPr>
          <w:rFonts w:hint="eastAsia" w:ascii="Calibri" w:hAnsi="Calibri" w:eastAsia="Calibri" w:cs="Calibri"/>
          <w:b/>
          <w:kern w:val="0"/>
          <w:sz w:val="28"/>
          <w:szCs w:val="28"/>
        </w:rPr>
        <w:t>.</w:t>
      </w:r>
      <w:r>
        <w:rPr>
          <w:rFonts w:hint="eastAsia" w:ascii="Calibri" w:hAnsi="Calibri" w:eastAsia="Calibri" w:cs="Calibri"/>
          <w:b/>
          <w:bCs/>
          <w:kern w:val="0"/>
          <w:sz w:val="32"/>
          <w:szCs w:val="20"/>
        </w:rPr>
        <w:t xml:space="preserve"> </w:t>
      </w:r>
      <w:r>
        <w:rPr>
          <w:rFonts w:hint="eastAsia" w:ascii="宋体" w:hAnsi="宋体" w:eastAsia="宋体" w:cs="宋体"/>
          <w:b/>
          <w:bCs/>
          <w:kern w:val="0"/>
          <w:sz w:val="28"/>
          <w:szCs w:val="28"/>
        </w:rPr>
        <w:t>招标人需要补充的其他内容</w:t>
      </w:r>
    </w:p>
    <w:p>
      <w:pPr>
        <w:spacing w:line="380" w:lineRule="exact"/>
        <w:ind w:firstLine="420"/>
        <w:rPr>
          <w:rFonts w:ascii="Calibri" w:hAnsi="Calibri" w:eastAsia="宋体" w:cs="Times New Roman"/>
          <w:szCs w:val="21"/>
        </w:rPr>
      </w:pPr>
      <w:r>
        <w:rPr>
          <w:rFonts w:hint="eastAsia" w:ascii="Calibri" w:hAnsi="Calibri" w:eastAsia="宋体" w:cs="Times New Roman"/>
          <w:szCs w:val="21"/>
        </w:rPr>
        <w:t>需要补充的其他内容：见投标人须知前附表。</w:t>
      </w:r>
    </w:p>
    <w:p>
      <w:pPr>
        <w:spacing w:before="340" w:after="330" w:line="578" w:lineRule="auto"/>
        <w:jc w:val="center"/>
        <w:outlineLvl w:val="0"/>
        <w:rPr>
          <w:rFonts w:ascii="Times New Roman" w:hAnsi="Times New Roman" w:eastAsia="宋体" w:cs="Times New Roman"/>
          <w:b/>
          <w:bCs/>
          <w:kern w:val="44"/>
          <w:sz w:val="36"/>
          <w:szCs w:val="36"/>
        </w:rPr>
      </w:pPr>
      <w:r>
        <w:rPr>
          <w:rFonts w:hint="eastAsia" w:ascii="Times New Roman" w:hAnsi="Times New Roman" w:eastAsia="宋体" w:cs="Times New Roman"/>
          <w:b/>
          <w:bCs/>
          <w:kern w:val="44"/>
          <w:sz w:val="44"/>
          <w:szCs w:val="44"/>
        </w:rPr>
        <w:br w:type="page"/>
      </w:r>
      <w:r>
        <w:rPr>
          <w:rFonts w:hint="eastAsia" w:ascii="Times New Roman" w:hAnsi="Times New Roman" w:eastAsia="宋体" w:cs="Times New Roman"/>
          <w:b/>
          <w:bCs/>
          <w:kern w:val="44"/>
          <w:sz w:val="36"/>
          <w:szCs w:val="36"/>
        </w:rPr>
        <w:t>第三章评标办法</w:t>
      </w:r>
      <w:bookmarkStart w:id="207" w:name="_Toc184635093"/>
      <w:bookmarkStart w:id="208" w:name="_Toc397928601"/>
      <w:bookmarkStart w:id="209" w:name="_Toc12629"/>
      <w:r>
        <w:rPr>
          <w:rFonts w:hint="eastAsia" w:ascii="Times New Roman" w:hAnsi="Times New Roman" w:eastAsia="宋体" w:cs="Times New Roman"/>
          <w:b/>
          <w:bCs/>
          <w:kern w:val="44"/>
          <w:sz w:val="36"/>
          <w:szCs w:val="36"/>
        </w:rPr>
        <w:t>（经评审的最低投标价法）</w:t>
      </w:r>
    </w:p>
    <w:p>
      <w:pPr>
        <w:rPr>
          <w:rFonts w:ascii="宋体" w:hAnsi="宋体" w:eastAsia="宋体" w:cs="Times New Roman"/>
          <w:szCs w:val="20"/>
        </w:rPr>
      </w:pPr>
      <w:bookmarkStart w:id="210" w:name="EB14fc55bdbac94e09a72b02328ffdfaf9"/>
      <w:bookmarkEnd w:id="210"/>
      <w:bookmarkStart w:id="211" w:name="EBbd5ecbe7b7df481196a3a3acb857bcae"/>
      <w:bookmarkEnd w:id="211"/>
    </w:p>
    <w:tbl>
      <w:tblPr>
        <w:tblStyle w:val="23"/>
        <w:tblW w:w="976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93"/>
        <w:gridCol w:w="1877"/>
        <w:gridCol w:w="336"/>
        <w:gridCol w:w="1136"/>
        <w:gridCol w:w="1528"/>
        <w:gridCol w:w="409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kern w:val="0"/>
                <w:sz w:val="24"/>
                <w:szCs w:val="20"/>
              </w:rPr>
              <w:t>评标入围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8" w:hRule="atLeast"/>
        </w:trPr>
        <w:tc>
          <w:tcPr>
            <w:tcW w:w="3006"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744" w:right="-20"/>
              <w:jc w:val="left"/>
              <w:rPr>
                <w:rFonts w:ascii="宋体" w:hAnsi="宋体" w:eastAsia="宋体" w:cs="Times New Roman"/>
                <w:kern w:val="0"/>
                <w:sz w:val="24"/>
                <w:szCs w:val="20"/>
              </w:rPr>
            </w:pPr>
            <w:r>
              <w:rPr>
                <w:rFonts w:hint="eastAsia" w:ascii="宋体" w:hAnsi="宋体" w:eastAsia="宋体" w:cs="MingLiU"/>
                <w:spacing w:val="1"/>
                <w:kern w:val="0"/>
                <w:szCs w:val="21"/>
              </w:rPr>
              <w:t>条款号</w:t>
            </w:r>
          </w:p>
        </w:tc>
        <w:tc>
          <w:tcPr>
            <w:tcW w:w="6759" w:type="dxa"/>
            <w:gridSpan w:val="3"/>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jc w:val="center"/>
              <w:rPr>
                <w:rFonts w:ascii="宋体" w:hAnsi="宋体" w:eastAsia="宋体" w:cs="Times New Roman"/>
                <w:kern w:val="0"/>
                <w:sz w:val="24"/>
                <w:szCs w:val="20"/>
              </w:rPr>
            </w:pPr>
            <w:r>
              <w:rPr>
                <w:rFonts w:hint="eastAsia" w:ascii="宋体" w:hAnsi="宋体" w:eastAsia="宋体" w:cs="MingLiU"/>
                <w:spacing w:val="1"/>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2.1.1</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评标入围条件</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投标文件存在所列情况之一的，不再进行后续评标</w:t>
            </w:r>
          </w:p>
          <w:p>
            <w:pPr>
              <w:rPr>
                <w:rFonts w:ascii="宋体" w:hAnsi="宋体" w:eastAsia="宋体" w:cs="Times New Roman"/>
                <w:szCs w:val="20"/>
              </w:rPr>
            </w:pPr>
            <w:r>
              <w:rPr>
                <w:rFonts w:hint="eastAsia" w:ascii="宋体" w:hAnsi="宋体" w:eastAsia="宋体" w:cs="Times New Roman"/>
                <w:szCs w:val="20"/>
              </w:rPr>
              <w:t>1.投标函中载明的招标项目完成期限超过招标文件规定的期限；</w:t>
            </w:r>
          </w:p>
          <w:p>
            <w:pPr>
              <w:rPr>
                <w:rFonts w:ascii="宋体" w:hAnsi="宋体" w:eastAsia="宋体" w:cs="Times New Roman"/>
                <w:szCs w:val="20"/>
              </w:rPr>
            </w:pPr>
            <w:r>
              <w:rPr>
                <w:rFonts w:hint="eastAsia" w:ascii="宋体" w:hAnsi="宋体" w:eastAsia="宋体" w:cs="Times New Roman"/>
                <w:szCs w:val="20"/>
              </w:rPr>
              <w:t>2.投标函中载明的投标质量标准未响应招标文件的实质性要求和条件；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2.1.2</w:t>
            </w:r>
          </w:p>
        </w:tc>
        <w:tc>
          <w:tcPr>
            <w:tcW w:w="2213" w:type="dxa"/>
            <w:gridSpan w:val="2"/>
            <w:tcBorders>
              <w:top w:val="outset" w:color="auto" w:sz="6" w:space="0"/>
              <w:left w:val="outset" w:color="auto" w:sz="6" w:space="0"/>
              <w:bottom w:val="outset" w:color="auto" w:sz="6" w:space="0"/>
              <w:right w:val="outset" w:color="auto" w:sz="6" w:space="0"/>
            </w:tcBorders>
            <w:noWrap/>
          </w:tcPr>
          <w:p>
            <w:pPr>
              <w:autoSpaceDE w:val="0"/>
              <w:autoSpaceDN w:val="0"/>
              <w:adjustRightInd w:val="0"/>
              <w:spacing w:before="73"/>
              <w:ind w:left="47" w:right="-20"/>
              <w:jc w:val="left"/>
              <w:rPr>
                <w:rFonts w:ascii="宋体" w:hAnsi="宋体" w:eastAsia="宋体" w:cs="Times New Roman"/>
                <w:kern w:val="0"/>
                <w:szCs w:val="21"/>
              </w:rPr>
            </w:pPr>
            <w:r>
              <w:rPr>
                <w:rFonts w:hint="eastAsia" w:ascii="宋体" w:hAnsi="宋体" w:eastAsia="宋体" w:cs="Times New Roman"/>
                <w:kern w:val="0"/>
                <w:szCs w:val="21"/>
              </w:rPr>
              <w:t>评标入围方法和数量</w:t>
            </w:r>
          </w:p>
        </w:tc>
        <w:tc>
          <w:tcPr>
            <w:tcW w:w="6759" w:type="dxa"/>
            <w:gridSpan w:val="3"/>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宋体" w:eastAsia="宋体" w:cs="Times New Roman"/>
                <w:szCs w:val="20"/>
              </w:rPr>
              <w:t>评标入围方法：全部入围。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006" w:type="dxa"/>
            <w:gridSpan w:val="3"/>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评审因素</w:t>
            </w:r>
          </w:p>
        </w:tc>
        <w:tc>
          <w:tcPr>
            <w:tcW w:w="4095" w:type="dxa"/>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restart"/>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.1</w:t>
            </w:r>
          </w:p>
        </w:tc>
        <w:tc>
          <w:tcPr>
            <w:tcW w:w="2213" w:type="dxa"/>
            <w:gridSpan w:val="2"/>
            <w:vMerge w:val="restar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形式评审标准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投标人名称</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投标人名称与营业执照一致；不一致的，须有有效证明材料；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投标文件签字盖章</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加盖投标人公章和企业法定代表人（或企业法定代表人委托代理人）印章（或签字）。如投标函加盖企业法定代表人委托代理人印章（或签字）的，委托代理人有合法、有效的委托书。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0" w:hRule="atLeast"/>
        </w:trPr>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报价唯一</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ascii="宋体" w:hAnsi="宋体" w:eastAsia="宋体" w:cs="Times New Roman"/>
                <w:szCs w:val="20"/>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2" w:name="EB547e8b8a2cf1444db2294cf5f37d3b2c"/>
            <w:r>
              <w:rPr>
                <w:rFonts w:hint="eastAsia" w:ascii="宋体" w:hAnsi="宋体" w:eastAsia="宋体" w:cs="Times New Roman"/>
                <w:color w:val="0000FF"/>
                <w:szCs w:val="21"/>
              </w:rPr>
              <w:t>/</w:t>
            </w:r>
            <w:bookmarkEnd w:id="212"/>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440" w:lineRule="exact"/>
              <w:textAlignment w:val="center"/>
              <w:rPr>
                <w:rFonts w:ascii="宋体" w:hAnsi="宋体" w:eastAsia="宋体" w:cs="Times New Roman"/>
                <w:color w:val="000000"/>
                <w:szCs w:val="21"/>
              </w:rPr>
            </w:pPr>
            <w:bookmarkStart w:id="213" w:name="EB55442037c84142659c046f2cd5fc1b3b"/>
            <w:r>
              <w:rPr>
                <w:rFonts w:hint="eastAsia" w:ascii="宋体" w:hAnsi="宋体" w:eastAsia="宋体" w:cs="Times New Roman"/>
                <w:color w:val="0000FF"/>
                <w:szCs w:val="21"/>
              </w:rPr>
              <w:t>/</w:t>
            </w:r>
            <w:bookmarkEnd w:id="213"/>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.2</w:t>
            </w:r>
          </w:p>
        </w:tc>
        <w:tc>
          <w:tcPr>
            <w:tcW w:w="2213"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资格评审标准</w:t>
            </w: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资格审查</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符合招标文件第二章3.5项资格审查要求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restart"/>
            <w:tcBorders>
              <w:top w:val="outset" w:color="auto" w:sz="6" w:space="0"/>
              <w:left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2</w:t>
            </w:r>
            <w:r>
              <w:rPr>
                <w:rFonts w:ascii="宋体" w:hAnsi="宋体" w:eastAsia="宋体" w:cs="Times New Roman"/>
                <w:szCs w:val="20"/>
              </w:rPr>
              <w:t>.3</w:t>
            </w:r>
          </w:p>
        </w:tc>
        <w:tc>
          <w:tcPr>
            <w:tcW w:w="2213" w:type="dxa"/>
            <w:gridSpan w:val="2"/>
            <w:vMerge w:val="restart"/>
            <w:tcBorders>
              <w:top w:val="outset" w:color="auto" w:sz="6" w:space="0"/>
              <w:left w:val="outset" w:color="auto" w:sz="6" w:space="0"/>
              <w:right w:val="outset" w:color="auto" w:sz="6" w:space="0"/>
            </w:tcBorders>
            <w:noWrap/>
            <w:vAlign w:val="center"/>
          </w:tcPr>
          <w:p>
            <w:pPr>
              <w:spacing w:line="276" w:lineRule="auto"/>
              <w:jc w:val="center"/>
              <w:rPr>
                <w:rFonts w:ascii="宋体" w:hAnsi="Times New Roman" w:eastAsia="宋体" w:cs="宋体"/>
                <w:color w:val="000000"/>
                <w:szCs w:val="21"/>
              </w:rPr>
            </w:pPr>
            <w:r>
              <w:rPr>
                <w:rFonts w:hint="eastAsia" w:ascii="宋体" w:hAnsi="Times New Roman" w:eastAsia="宋体" w:cs="宋体"/>
                <w:color w:val="000000"/>
                <w:szCs w:val="21"/>
              </w:rPr>
              <w:t>响应性评审标准</w:t>
            </w:r>
          </w:p>
          <w:p>
            <w:pPr>
              <w:spacing w:line="276" w:lineRule="auto"/>
              <w:jc w:val="center"/>
              <w:rPr>
                <w:rFonts w:ascii="宋体" w:hAnsi="Times New Roman" w:eastAsia="宋体" w:cs="宋体"/>
                <w:color w:val="000000"/>
                <w:szCs w:val="21"/>
              </w:rPr>
            </w:pPr>
          </w:p>
        </w:tc>
        <w:tc>
          <w:tcPr>
            <w:tcW w:w="2664" w:type="dxa"/>
            <w:gridSpan w:val="2"/>
            <w:tcBorders>
              <w:top w:val="outset" w:color="auto" w:sz="6" w:space="0"/>
              <w:left w:val="outset" w:color="auto" w:sz="6" w:space="0"/>
              <w:bottom w:val="outset" w:color="auto" w:sz="6" w:space="0"/>
              <w:right w:val="outset" w:color="auto" w:sz="6" w:space="0"/>
            </w:tcBorders>
            <w:noWrap/>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spacing w:line="276" w:lineRule="auto"/>
              <w:rPr>
                <w:rFonts w:ascii="宋体" w:hAnsi="Times New Roman" w:eastAsia="宋体" w:cs="宋体"/>
                <w:color w:val="000000"/>
                <w:szCs w:val="21"/>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供货期</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符合第二章“投标人须知”第1.3.2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质量要求</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符合第二章“投标人须知”第1.3.4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投标保证金</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符合第二章“投标人须知”第3.4.1 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szCs w:val="21"/>
              </w:rPr>
              <w:t>其他</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Times New Roman" w:hAnsi="Times New Roman" w:eastAsia="宋体" w:cs="Times New Roman"/>
                <w:szCs w:val="20"/>
              </w:rPr>
              <w:t>无本章3.2.3所列情形之一</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3" w:type="dxa"/>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213" w:type="dxa"/>
            <w:gridSpan w:val="2"/>
            <w:vMerge w:val="continue"/>
            <w:tcBorders>
              <w:left w:val="outset" w:color="auto" w:sz="6" w:space="0"/>
              <w:right w:val="outset" w:color="auto" w:sz="6" w:space="0"/>
            </w:tcBorders>
            <w:noWrap/>
            <w:vAlign w:val="center"/>
          </w:tcPr>
          <w:p>
            <w:pPr>
              <w:jc w:val="left"/>
              <w:rPr>
                <w:rFonts w:ascii="宋体" w:hAnsi="宋体" w:eastAsia="宋体" w:cs="Times New Roman"/>
                <w:szCs w:val="20"/>
              </w:rPr>
            </w:pPr>
          </w:p>
        </w:tc>
        <w:tc>
          <w:tcPr>
            <w:tcW w:w="2664" w:type="dxa"/>
            <w:gridSpan w:val="2"/>
            <w:tcBorders>
              <w:top w:val="outset" w:color="auto" w:sz="6" w:space="0"/>
              <w:left w:val="outset" w:color="auto" w:sz="6" w:space="0"/>
              <w:bottom w:val="outset" w:color="auto" w:sz="6" w:space="0"/>
              <w:right w:val="outset" w:color="auto" w:sz="6" w:space="0"/>
            </w:tcBorders>
            <w:noWrap/>
          </w:tcPr>
          <w:p>
            <w:pPr>
              <w:rPr>
                <w:rFonts w:ascii="宋体" w:hAnsi="宋体" w:eastAsia="宋体" w:cs="Times New Roman"/>
                <w:szCs w:val="20"/>
              </w:rPr>
            </w:pPr>
            <w:r>
              <w:rPr>
                <w:rFonts w:hint="eastAsia" w:ascii="宋体" w:hAnsi="Times New Roman" w:eastAsia="宋体" w:cs="宋体"/>
                <w:color w:val="000000"/>
                <w:szCs w:val="21"/>
              </w:rPr>
              <w:t>投标内容</w:t>
            </w:r>
          </w:p>
        </w:tc>
        <w:tc>
          <w:tcPr>
            <w:tcW w:w="4095" w:type="dxa"/>
            <w:tcBorders>
              <w:top w:val="outset" w:color="auto" w:sz="6" w:space="0"/>
              <w:left w:val="outset" w:color="auto" w:sz="6" w:space="0"/>
              <w:bottom w:val="outset" w:color="auto" w:sz="6" w:space="0"/>
              <w:right w:val="outset" w:color="auto" w:sz="6" w:space="0"/>
            </w:tcBorders>
            <w:noWrap/>
            <w:vAlign w:val="center"/>
          </w:tcPr>
          <w:p>
            <w:pPr>
              <w:rPr>
                <w:rFonts w:ascii="宋体" w:hAnsi="宋体" w:eastAsia="宋体" w:cs="Times New Roman"/>
                <w:szCs w:val="20"/>
              </w:rPr>
            </w:pPr>
            <w:r>
              <w:rPr>
                <w:rFonts w:hint="eastAsia" w:ascii="宋体" w:hAnsi="Times New Roman" w:eastAsia="宋体" w:cs="宋体"/>
                <w:color w:val="00000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9765" w:type="dxa"/>
            <w:gridSpan w:val="6"/>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hint="eastAsia" w:ascii="宋体" w:hAnsi="宋体" w:eastAsia="宋体" w:cs="Times New Roman"/>
                <w:szCs w:val="20"/>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02"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条款号</w:t>
            </w:r>
          </w:p>
        </w:tc>
        <w:tc>
          <w:tcPr>
            <w:tcW w:w="7095" w:type="dxa"/>
            <w:gridSpan w:val="4"/>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eastAsia="宋体" w:cs="Times New Roman"/>
                <w:szCs w:val="20"/>
              </w:rPr>
            </w:pPr>
            <w:r>
              <w:rPr>
                <w:rFonts w:ascii="宋体" w:hAnsi="宋体" w:eastAsia="宋体" w:cs="Times New Roman"/>
                <w:szCs w:val="20"/>
              </w:rP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37" w:hRule="atLeast"/>
        </w:trPr>
        <w:tc>
          <w:tcPr>
            <w:tcW w:w="2670" w:type="dxa"/>
            <w:gridSpan w:val="2"/>
            <w:tcBorders>
              <w:top w:val="outset" w:color="auto" w:sz="6" w:space="0"/>
              <w:left w:val="outset" w:color="auto" w:sz="6" w:space="0"/>
              <w:bottom w:val="outset" w:color="auto" w:sz="6" w:space="0"/>
              <w:right w:val="outset" w:color="auto" w:sz="6" w:space="0"/>
            </w:tcBorders>
            <w:noWrap/>
            <w:vAlign w:val="center"/>
          </w:tcPr>
          <w:p>
            <w:pPr>
              <w:jc w:val="left"/>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3</w:t>
            </w:r>
            <w:r>
              <w:rPr>
                <w:rFonts w:ascii="宋体" w:hAnsi="宋体" w:eastAsia="宋体" w:cs="Times New Roman"/>
                <w:szCs w:val="20"/>
              </w:rPr>
              <w:t>.1</w:t>
            </w:r>
          </w:p>
        </w:tc>
        <w:tc>
          <w:tcPr>
            <w:tcW w:w="1472" w:type="dxa"/>
            <w:gridSpan w:val="2"/>
            <w:tcBorders>
              <w:top w:val="outset" w:color="auto" w:sz="6" w:space="0"/>
              <w:left w:val="outset" w:color="auto" w:sz="6" w:space="0"/>
              <w:right w:val="single" w:color="auto" w:sz="4" w:space="0"/>
            </w:tcBorders>
            <w:noWrap/>
            <w:vAlign w:val="center"/>
          </w:tcPr>
          <w:p>
            <w:pPr>
              <w:jc w:val="center"/>
            </w:pPr>
            <w:r>
              <w:rPr>
                <w:rFonts w:hint="eastAsia"/>
              </w:rPr>
              <w:t>投标报价</w:t>
            </w:r>
          </w:p>
        </w:tc>
        <w:tc>
          <w:tcPr>
            <w:tcW w:w="5623" w:type="dxa"/>
            <w:gridSpan w:val="2"/>
            <w:tcBorders>
              <w:top w:val="outset" w:color="auto" w:sz="6" w:space="0"/>
              <w:left w:val="single" w:color="auto" w:sz="4" w:space="0"/>
              <w:right w:val="outset" w:color="auto" w:sz="6" w:space="0"/>
            </w:tcBorders>
            <w:vAlign w:val="center"/>
          </w:tcPr>
          <w:p>
            <w:pPr>
              <w:rPr>
                <w:rFonts w:ascii="宋体" w:hAnsi="宋体"/>
                <w:color w:val="000000"/>
              </w:rPr>
            </w:pPr>
            <w:bookmarkStart w:id="214" w:name="EB18e262b3ad1d474ab9aa29e9c20d7c19"/>
            <w:r>
              <w:rPr>
                <w:rFonts w:hint="eastAsia"/>
                <w:color w:val="0000FF"/>
              </w:rPr>
              <w:t xml:space="preserve"> </w:t>
            </w:r>
            <w:r>
              <w:rPr>
                <w:rFonts w:ascii="Segoe UI Emoji" w:hAnsi="Segoe UI Emoji" w:cs="Segoe UI Emoji"/>
                <w:color w:val="0000FF"/>
              </w:rPr>
              <w:t>☑</w:t>
            </w:r>
            <w:r>
              <w:rPr>
                <w:rFonts w:hint="eastAsia"/>
                <w:color w:val="0000FF"/>
              </w:rPr>
              <w:t xml:space="preserve"> </w:t>
            </w:r>
            <w:bookmarkEnd w:id="214"/>
            <w:r>
              <w:rPr>
                <w:rFonts w:hint="eastAsia"/>
              </w:rPr>
              <w:t>以投标报价为评审</w:t>
            </w:r>
            <w:r>
              <w:rPr>
                <w:rFonts w:hint="eastAsia" w:ascii="宋体" w:hAnsi="宋体"/>
                <w:color w:val="000000"/>
              </w:rPr>
              <w:t>因素：</w:t>
            </w:r>
            <w:r>
              <w:rPr>
                <w:rFonts w:hint="eastAsia"/>
              </w:rPr>
              <w:t>是指投标文件满足招标文件全部实质性要求，且投标报价最低的投标人为中标候选人的评标办法。</w:t>
            </w:r>
          </w:p>
        </w:tc>
      </w:tr>
    </w:tbl>
    <w:p>
      <w:pPr>
        <w:pStyle w:val="3"/>
        <w:keepNext w:val="0"/>
        <w:keepLines w:val="0"/>
        <w:spacing w:line="400" w:lineRule="exact"/>
        <w:rPr>
          <w:rFonts w:eastAsia="黑体"/>
          <w:b w:val="0"/>
          <w:color w:val="000000"/>
          <w:kern w:val="2"/>
          <w:szCs w:val="32"/>
        </w:rPr>
      </w:pPr>
      <w:r>
        <w:rPr>
          <w:rFonts w:hint="eastAsia" w:ascii="宋体" w:hAnsi="Times New Roman"/>
          <w:color w:val="000000"/>
          <w:szCs w:val="20"/>
        </w:rPr>
        <w:br w:type="page"/>
      </w:r>
      <w:bookmarkEnd w:id="207"/>
      <w:bookmarkEnd w:id="208"/>
      <w:bookmarkEnd w:id="209"/>
      <w:r>
        <w:rPr>
          <w:rFonts w:hint="eastAsia" w:eastAsia="黑体"/>
          <w:b w:val="0"/>
          <w:color w:val="000000"/>
          <w:kern w:val="2"/>
          <w:szCs w:val="32"/>
        </w:rPr>
        <w:t>1. 评标方法</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Times New Roman" w:hAnsi="Times New Roman" w:eastAsia="宋体" w:cs="Times New Roman"/>
          <w:szCs w:val="21"/>
        </w:rPr>
        <w:t>本次评标采用</w:t>
      </w:r>
      <w:r>
        <w:rPr>
          <w:rFonts w:hint="eastAsia" w:ascii="宋体" w:hAnsi="宋体" w:eastAsia="宋体" w:cs="宋体"/>
          <w:szCs w:val="21"/>
          <w:highlight w:val="white"/>
        </w:rPr>
        <w:t>经评审的最低投标价法</w:t>
      </w:r>
      <w:r>
        <w:rPr>
          <w:rFonts w:hint="eastAsia" w:ascii="Times New Roman" w:hAnsi="Times New Roman" w:eastAsia="宋体" w:cs="Times New Roman"/>
          <w:szCs w:val="21"/>
        </w:rPr>
        <w:t>。评标委员会对满足招标文件实质要求的投标文件，按照本章规定的评分标准进行评标，并按报价由低到高顺序推荐中标候选人，投标报价相等的，由招标人自行确定。</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2. 评审标准</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2.1 初步评审标准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2.1.1 形式评审标准：见评标办法前附表。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2.1.2 资格评审标准：见评标办法前附表。</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2.1.3 响应性评审标准：见评标办法前附表。</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2.2评分标准</w:t>
      </w:r>
    </w:p>
    <w:p>
      <w:pPr>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2.2.</w:t>
      </w:r>
      <w:r>
        <w:rPr>
          <w:rFonts w:ascii="宋体" w:hAnsi="宋体" w:eastAsia="宋体" w:cs="宋体"/>
          <w:kern w:val="0"/>
          <w:szCs w:val="21"/>
        </w:rPr>
        <w:t>1</w:t>
      </w:r>
      <w:r>
        <w:rPr>
          <w:rFonts w:hint="eastAsia" w:ascii="宋体" w:hAnsi="宋体" w:eastAsia="宋体" w:cs="宋体"/>
          <w:kern w:val="0"/>
          <w:szCs w:val="21"/>
        </w:rPr>
        <w:t xml:space="preserve"> 评分标准：见评标办法前附表。</w:t>
      </w:r>
    </w:p>
    <w:p>
      <w:pPr>
        <w:spacing w:before="120" w:after="120" w:line="400" w:lineRule="exact"/>
        <w:outlineLvl w:val="1"/>
        <w:rPr>
          <w:rFonts w:ascii="Arial" w:hAnsi="Arial" w:eastAsia="黑体" w:cs="Times New Roman"/>
          <w:bCs/>
          <w:color w:val="000000"/>
          <w:sz w:val="32"/>
          <w:szCs w:val="32"/>
        </w:rPr>
      </w:pPr>
      <w:r>
        <w:rPr>
          <w:rFonts w:hint="eastAsia" w:ascii="Arial" w:hAnsi="Arial" w:eastAsia="黑体" w:cs="Times New Roman"/>
          <w:bCs/>
          <w:color w:val="000000"/>
          <w:sz w:val="32"/>
          <w:szCs w:val="32"/>
        </w:rPr>
        <w:t>3. 评标程序</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3.1 评标准备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3.1.1 评标委员会成员到达评标现场时应在签到表上签到</w:t>
      </w:r>
      <w:r>
        <w:rPr>
          <w:rFonts w:hint="eastAsia" w:ascii="宋体" w:hAnsi="TimesNewRomanPSMT" w:eastAsia="宋体" w:cs="宋体"/>
          <w:color w:val="000000"/>
          <w:kern w:val="0"/>
          <w:szCs w:val="21"/>
        </w:rPr>
        <w:t>（或通过门禁系统签到）</w:t>
      </w:r>
      <w:r>
        <w:rPr>
          <w:rFonts w:hint="eastAsia" w:ascii="宋体" w:hAnsi="宋体" w:eastAsia="宋体" w:cs="宋体"/>
          <w:color w:val="000000"/>
          <w:kern w:val="0"/>
          <w:szCs w:val="21"/>
        </w:rPr>
        <w:t>以证明其出席。</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3.1.2 评标委员会成员首先推选一名评标委员会负责人，负责评标活动的组织领导工作。</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3.2初步评审</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3.2.1 评标委员会依据本章第2.1项规定的标准对投标文件进行初步评审，有一项不符合评审标准的，作无效标处理。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黑体" w:hAnsi="TimesNewRomanPSMT" w:eastAsia="黑体" w:cs="宋体"/>
          <w:color w:val="000000"/>
          <w:kern w:val="0"/>
          <w:szCs w:val="21"/>
        </w:rPr>
        <w:t>3</w:t>
      </w:r>
      <w:r>
        <w:rPr>
          <w:rFonts w:hint="eastAsia" w:ascii="宋体" w:hAnsi="TimesNewRomanPSMT" w:eastAsia="宋体" w:cs="宋体"/>
          <w:color w:val="000000"/>
          <w:kern w:val="0"/>
          <w:szCs w:val="21"/>
        </w:rPr>
        <w:t>.2.2 投标人有以下情形之一的，其投标作无效标处理：</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 投标文件中的投标函未加盖投标人的公章及企业法定代表人印章的，或者企业法定代表人委托代理人没有合法、有效的委托书（原件）及委托代理人印章的；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（2）. 未按招标文件要求提供投标保证金的；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（3）. 未按招标文件规定的格式填写，内容不全或关键字迹模糊、无法辨认的，不符合招标文件有关暗标要求的；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 xml:space="preserve">（4）. 投标人递交两份或多份内容不同的投标文件，或在一份投标文件中对同一招标项目报有两个或多个报价，且未声明哪一个有效，按招标文件规定提交备选投标方案的除外； </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（5）. 投标人名称或组织结构与资格预审时不一致的；组成联合体投标的，投标文件未附联合体各方共同投标协议的。投标时联合体成员与报名资格预审合格时的成员不一致的；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（6）. 投标人资格条件不符合国家有关规定或招标文件要求的；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（7）. 投标报价高于招标文件设定的最高投标限价；</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（8）. 投标文件载明的检验标准和方法等不符合招标文件的要求或明显不符合技术规范、技术标准的要求；</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（9）.投标文件提出的范围、供货期、费用及支付办法不能满足招标文件要求或招标人不能接受；</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（10）.不同投标人的投标文件出现了评标委员会认为不应当雷同的情况的；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（11）.以他人的名义投标、串通投标、以行贿手段谋取中标或者以其他弄虚作假方式投标的；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（12）. 投标人未按照招标文件的要求提供必须提交的相关资料或提供虚假资料的；</w:t>
      </w:r>
    </w:p>
    <w:p>
      <w:pPr>
        <w:autoSpaceDE w:val="0"/>
        <w:autoSpaceDN w:val="0"/>
        <w:adjustRightInd w:val="0"/>
        <w:spacing w:line="400" w:lineRule="exact"/>
        <w:ind w:firstLine="420" w:firstLineChars="200"/>
        <w:jc w:val="left"/>
        <w:rPr>
          <w:rFonts w:ascii="宋体" w:hAnsi="TimesNewRomanPSMT" w:eastAsia="宋体" w:cs="宋体"/>
          <w:color w:val="000000"/>
          <w:kern w:val="0"/>
          <w:szCs w:val="21"/>
        </w:rPr>
      </w:pPr>
      <w:r>
        <w:rPr>
          <w:rFonts w:hint="eastAsia" w:ascii="宋体" w:hAnsi="TimesNewRomanPSMT" w:eastAsia="宋体" w:cs="宋体"/>
          <w:color w:val="000000"/>
          <w:kern w:val="0"/>
          <w:szCs w:val="21"/>
        </w:rPr>
        <w:t>（13）. 招标文件规定的不违背法律法规的其它合理性重大偏差及法律法规规定的其它情况。</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3.3 详细评审</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3.3.1 评标委员会按本章第2.2项规定的评分标准进行。</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3.4 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3.4.2 澄清、说明和补正不得改变投标文件的实质性内容。投标人的书面澄清、说明和补正属于投标文件的组成部分；</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3.4.3 评标委员会对投标人提交的澄清、说明或补正有疑问的，可以要求投标人进一步澄清、说明或补正，直至满足评标委员会的要求。</w:t>
      </w:r>
    </w:p>
    <w:p>
      <w:pPr>
        <w:spacing w:before="20" w:after="20" w:line="400" w:lineRule="exact"/>
        <w:outlineLvl w:val="2"/>
        <w:rPr>
          <w:rFonts w:ascii="Times New Roman" w:hAnsi="Times New Roman" w:eastAsia="黑体" w:cs="Times New Roman"/>
          <w:bCs/>
          <w:color w:val="000000"/>
          <w:kern w:val="0"/>
          <w:sz w:val="24"/>
          <w:szCs w:val="32"/>
        </w:rPr>
      </w:pPr>
      <w:r>
        <w:rPr>
          <w:rFonts w:hint="eastAsia" w:ascii="Times New Roman" w:hAnsi="Times New Roman" w:eastAsia="黑体" w:cs="Times New Roman"/>
          <w:bCs/>
          <w:color w:val="000000"/>
          <w:kern w:val="0"/>
          <w:sz w:val="24"/>
          <w:szCs w:val="32"/>
        </w:rPr>
        <w:t>3.5 推荐中标候选人或直接确定中标人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3.5.1 除投标人须知前附表授权直接确定中标人外，评标委员会在推荐中标候选人时，应遵照以下原则:</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(1)评标委员会按照投标报价由低到高的次序排列，并根据投标人须知前附表规定的中标候选人数量，将排序在前的投标人推荐为中标候选人。</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如果评标委员会根据本章的规定作无效标处理后，有效投标不足三个，且少于投标人须知前附表规定的中标候选人数量的，则评标委员会可以将所有有效投标按最终报价由低至高的次序作为中标候选人向招标人推荐。如果因有效投标不足三个使得投标明显缺乏竞争的，评标委员会可以否决所有投标。</w:t>
      </w:r>
    </w:p>
    <w:p>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3.5.2 投标人须知前附表授权评标委员会直接确定中标人的，评标委员会按照投标报价由低到高的次序排列，并确定排名第一的投标人为中标人。</w:t>
      </w:r>
    </w:p>
    <w:p>
      <w:pPr>
        <w:spacing w:line="360" w:lineRule="auto"/>
        <w:ind w:firstLine="480" w:firstLineChars="200"/>
        <w:rPr>
          <w:rFonts w:ascii="宋体" w:hAnsi="Times New Roman" w:eastAsia="宋体" w:cs="Times New Roman"/>
          <w:color w:val="000000"/>
          <w:szCs w:val="20"/>
        </w:rPr>
      </w:pPr>
      <w:bookmarkStart w:id="215" w:name="_Toc397975305"/>
      <w:r>
        <w:rPr>
          <w:rFonts w:hint="eastAsia" w:ascii="Times New Roman" w:hAnsi="Times New Roman" w:eastAsia="黑体" w:cs="Times New Roman"/>
          <w:color w:val="000000"/>
          <w:sz w:val="24"/>
          <w:szCs w:val="20"/>
        </w:rPr>
        <w:t>3.6 提交评标报告</w:t>
      </w:r>
      <w:bookmarkEnd w:id="215"/>
      <w:r>
        <w:rPr>
          <w:rFonts w:hint="eastAsia" w:ascii="宋体" w:hAnsi="Times New Roman" w:eastAsia="宋体" w:cs="Times New Roman"/>
          <w:color w:val="000000"/>
          <w:szCs w:val="20"/>
        </w:rPr>
        <w:t xml:space="preserve"> </w:t>
      </w:r>
    </w:p>
    <w:p>
      <w:pPr>
        <w:spacing w:line="360" w:lineRule="auto"/>
        <w:ind w:firstLine="420" w:firstLineChars="200"/>
        <w:rPr>
          <w:rFonts w:ascii="宋体" w:hAnsi="Times New Roman" w:eastAsia="宋体" w:cs="Times New Roman"/>
          <w:color w:val="000000"/>
          <w:szCs w:val="20"/>
        </w:rPr>
      </w:pPr>
      <w:r>
        <w:rPr>
          <w:rFonts w:hint="eastAsia" w:ascii="宋体" w:hAnsi="Times New Roman" w:eastAsia="宋体" w:cs="Times New Roman"/>
          <w:color w:val="000000"/>
          <w:szCs w:val="20"/>
        </w:rPr>
        <w:t>评标委员会完成评标后，应当向招标人提交书面评标报告。评标报告应当由全体评标委员会成员签字，并于评标结束时抄送有关行政监督部门。</w:t>
      </w:r>
    </w:p>
    <w:p>
      <w:pPr>
        <w:spacing w:line="360" w:lineRule="auto"/>
        <w:outlineLvl w:val="2"/>
        <w:rPr>
          <w:rFonts w:ascii="宋体" w:hAnsi="Times New Roman" w:eastAsia="宋体" w:cs="Times New Roman"/>
          <w:color w:val="000000"/>
          <w:szCs w:val="20"/>
        </w:rPr>
      </w:pPr>
    </w:p>
    <w:p>
      <w:pPr>
        <w:autoSpaceDE w:val="0"/>
        <w:autoSpaceDN w:val="0"/>
        <w:spacing w:line="440" w:lineRule="exact"/>
        <w:ind w:firstLine="420" w:firstLineChars="200"/>
        <w:jc w:val="left"/>
        <w:rPr>
          <w:rFonts w:ascii="Times New Roman" w:hAnsi="Times New Roman" w:eastAsia="宋体" w:cs="Times New Roman"/>
          <w:szCs w:val="20"/>
        </w:rPr>
        <w:sectPr>
          <w:type w:val="nextColumn"/>
          <w:pgSz w:w="11906" w:h="16838"/>
          <w:pgMar w:top="1418" w:right="1021" w:bottom="1134" w:left="1701" w:header="851" w:footer="624" w:gutter="0"/>
          <w:cols w:space="720" w:num="1"/>
          <w:docGrid w:linePitch="312" w:charSpace="0"/>
        </w:sectPr>
      </w:pPr>
    </w:p>
    <w:p>
      <w:pPr>
        <w:tabs>
          <w:tab w:val="left" w:pos="0"/>
        </w:tabs>
        <w:adjustRightInd w:val="0"/>
        <w:spacing w:line="500" w:lineRule="exact"/>
        <w:jc w:val="center"/>
        <w:outlineLvl w:val="0"/>
        <w:rPr>
          <w:rFonts w:ascii="Times New Roman" w:hAnsi="Times New Roman" w:eastAsia="宋体" w:cs="Times New Roman"/>
          <w:b/>
          <w:kern w:val="44"/>
          <w:sz w:val="32"/>
          <w:szCs w:val="32"/>
        </w:rPr>
      </w:pPr>
      <w:r>
        <w:rPr>
          <w:rFonts w:ascii="Times New Roman" w:hAnsi="Times New Roman" w:eastAsia="宋体" w:cs="Times New Roman"/>
          <w:b/>
          <w:kern w:val="44"/>
          <w:sz w:val="32"/>
          <w:szCs w:val="32"/>
        </w:rPr>
        <w:t>第四章</w:t>
      </w:r>
      <w:r>
        <w:rPr>
          <w:rFonts w:hint="eastAsia" w:ascii="Times New Roman" w:hAnsi="Times New Roman" w:eastAsia="宋体" w:cs="Times New Roman"/>
          <w:b/>
          <w:kern w:val="44"/>
          <w:sz w:val="32"/>
          <w:szCs w:val="32"/>
        </w:rPr>
        <w:t>合同条款及格式</w:t>
      </w:r>
    </w:p>
    <w:p>
      <w:pPr>
        <w:autoSpaceDN w:val="0"/>
        <w:spacing w:line="280" w:lineRule="exact"/>
        <w:rPr>
          <w:rFonts w:ascii="宋体" w:hAnsi="Times New Roman" w:eastAsia="宋体" w:cs="Times New Roman"/>
          <w:b/>
          <w:bCs/>
          <w:color w:val="000000"/>
          <w:szCs w:val="21"/>
        </w:rPr>
      </w:pPr>
    </w:p>
    <w:p>
      <w:pPr>
        <w:spacing w:before="1560" w:beforeLines="500" w:after="3120" w:afterLines="1000" w:line="660" w:lineRule="auto"/>
        <w:ind w:right="1260" w:rightChars="600"/>
        <w:jc w:val="center"/>
        <w:rPr>
          <w:rFonts w:ascii="宋体" w:hAnsi="Times New Roman" w:eastAsia="宋体" w:cs="宋体"/>
          <w:sz w:val="32"/>
          <w:szCs w:val="32"/>
        </w:rPr>
      </w:pPr>
      <w:r>
        <w:rPr>
          <w:rFonts w:hint="eastAsia" w:ascii="宋体" w:hAnsi="Times New Roman" w:eastAsia="宋体" w:cs="宋体"/>
          <w:sz w:val="32"/>
          <w:szCs w:val="32"/>
        </w:rPr>
        <w:t xml:space="preserve">      东园路管网综合改造工程焊接钢管采购项目合同</w:t>
      </w: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pacing w:val="-10"/>
          <w:sz w:val="32"/>
          <w:szCs w:val="32"/>
        </w:rPr>
      </w:pP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甲（买）方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00" w:firstLineChars="400"/>
        <w:jc w:val="left"/>
        <w:rPr>
          <w:rFonts w:ascii="宋体" w:hAnsi="Times New Roman" w:eastAsia="宋体" w:cs="宋体"/>
          <w:sz w:val="30"/>
          <w:szCs w:val="30"/>
          <w:u w:val="single"/>
        </w:rPr>
      </w:pPr>
      <w:r>
        <w:rPr>
          <w:rFonts w:hint="eastAsia" w:ascii="宋体" w:hAnsi="Times New Roman" w:eastAsia="宋体" w:cs="宋体"/>
          <w:spacing w:val="-10"/>
          <w:sz w:val="32"/>
          <w:szCs w:val="32"/>
        </w:rPr>
        <w:t>乙（卖）方</w:t>
      </w:r>
      <w:r>
        <w:rPr>
          <w:rFonts w:hint="eastAsia" w:ascii="宋体" w:hAnsi="Times New Roman" w:eastAsia="宋体" w:cs="宋体"/>
          <w:sz w:val="32"/>
          <w:szCs w:val="32"/>
        </w:rPr>
        <w:t>：</w:t>
      </w:r>
      <w:r>
        <w:rPr>
          <w:rFonts w:hint="eastAsia" w:ascii="宋体" w:hAnsi="Times New Roman" w:eastAsia="宋体" w:cs="宋体"/>
          <w:sz w:val="30"/>
          <w:szCs w:val="30"/>
          <w:u w:val="single"/>
        </w:rPr>
        <w:t xml:space="preserve">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签订时间：</w:t>
      </w:r>
      <w:r>
        <w:rPr>
          <w:rFonts w:hint="eastAsia" w:ascii="宋体" w:hAnsi="Times New Roman" w:eastAsia="宋体" w:cs="宋体"/>
          <w:sz w:val="30"/>
          <w:szCs w:val="30"/>
          <w:u w:val="single"/>
        </w:rPr>
        <w:t xml:space="preserve"> 年     月     日     </w:t>
      </w:r>
    </w:p>
    <w:p>
      <w:pPr>
        <w:adjustRightInd w:val="0"/>
        <w:snapToGrid w:val="0"/>
        <w:spacing w:line="420" w:lineRule="auto"/>
        <w:ind w:firstLine="1280" w:firstLineChars="400"/>
        <w:jc w:val="left"/>
        <w:rPr>
          <w:rFonts w:ascii="宋体" w:hAnsi="Times New Roman" w:eastAsia="宋体" w:cs="宋体"/>
          <w:sz w:val="30"/>
          <w:szCs w:val="30"/>
        </w:rPr>
      </w:pPr>
      <w:r>
        <w:rPr>
          <w:rFonts w:hint="eastAsia" w:ascii="宋体" w:hAnsi="Times New Roman" w:eastAsia="宋体" w:cs="宋体"/>
          <w:sz w:val="32"/>
          <w:szCs w:val="32"/>
        </w:rPr>
        <w:t>签订地点：</w:t>
      </w:r>
      <w:r>
        <w:rPr>
          <w:rFonts w:hint="eastAsia" w:ascii="宋体" w:hAnsi="Times New Roman" w:eastAsia="宋体" w:cs="宋体"/>
          <w:sz w:val="30"/>
          <w:szCs w:val="30"/>
          <w:u w:val="single"/>
        </w:rPr>
        <w:t xml:space="preserve">                            </w:t>
      </w:r>
    </w:p>
    <w:p>
      <w:pPr>
        <w:adjustRightInd w:val="0"/>
        <w:snapToGrid w:val="0"/>
        <w:spacing w:line="300" w:lineRule="exact"/>
        <w:rPr>
          <w:rFonts w:ascii="宋体" w:hAnsi="Times New Roman" w:eastAsia="宋体" w:cs="宋体"/>
          <w:sz w:val="44"/>
          <w:szCs w:val="44"/>
        </w:rPr>
        <w:sectPr>
          <w:footerReference r:id="rId8" w:type="default"/>
          <w:footerReference r:id="rId9" w:type="even"/>
          <w:pgSz w:w="11906" w:h="16838"/>
          <w:pgMar w:top="1418" w:right="1021" w:bottom="1134" w:left="1701" w:header="851" w:footer="624" w:gutter="0"/>
          <w:cols w:space="720" w:num="1"/>
          <w:docGrid w:type="lines" w:linePitch="312" w:charSpace="0"/>
        </w:sectPr>
      </w:pPr>
    </w:p>
    <w:p>
      <w:pPr>
        <w:adjustRightInd w:val="0"/>
        <w:snapToGrid w:val="0"/>
        <w:spacing w:line="360" w:lineRule="auto"/>
        <w:ind w:firstLine="472" w:firstLineChars="225"/>
        <w:rPr>
          <w:rFonts w:ascii="宋体" w:hAnsi="Times New Roman" w:eastAsia="宋体" w:cs="宋体"/>
          <w:szCs w:val="21"/>
        </w:rPr>
      </w:pPr>
      <w:r>
        <w:rPr>
          <w:rFonts w:hint="eastAsia" w:ascii="宋体" w:hAnsi="Times New Roman" w:eastAsia="宋体" w:cs="宋体"/>
          <w:szCs w:val="21"/>
        </w:rPr>
        <w:t>甲乙双方根据《中华人民共和国民法典》、《中华人民共和国招标投标法》等相关法律法规以及本项目的招标文件、答疑文件及投标文件，经协商达成合同如下：</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一、合同标的</w:t>
      </w:r>
    </w:p>
    <w:p>
      <w:pPr>
        <w:tabs>
          <w:tab w:val="left" w:pos="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1、本合同标的物为</w:t>
      </w:r>
      <w:r>
        <w:rPr>
          <w:rFonts w:hint="eastAsia" w:ascii="宋体" w:hAnsi="Times New Roman" w:eastAsia="宋体" w:cs="宋体"/>
          <w:szCs w:val="21"/>
          <w:u w:val="single"/>
        </w:rPr>
        <w:t>东园路管网综合改造工程焊接钢管采购项目</w:t>
      </w:r>
      <w:r>
        <w:rPr>
          <w:rFonts w:hint="eastAsia" w:ascii="宋体" w:hAnsi="Times New Roman" w:eastAsia="宋体" w:cs="宋体"/>
          <w:szCs w:val="21"/>
        </w:rPr>
        <w:t>，包括设备及辅材的供货、运输、卸货、产品检测，并配合通过工程验收且达到合同规定要求，以及提供招标文件要求的、投标文件承诺的伴随服务等全部内容，</w:t>
      </w:r>
      <w:r>
        <w:rPr>
          <w:rFonts w:hint="eastAsia" w:ascii="宋体" w:hAnsi="宋体" w:eastAsia="宋体" w:cs="宋体"/>
          <w:color w:val="000000"/>
          <w:kern w:val="0"/>
          <w:szCs w:val="21"/>
        </w:rPr>
        <w:t>所供管材必须注明生产厂家品牌、规格、执行标准、生产日期等标识。</w:t>
      </w:r>
      <w:r>
        <w:rPr>
          <w:rFonts w:hint="eastAsia" w:ascii="宋体" w:hAnsi="Times New Roman" w:eastAsia="宋体" w:cs="宋体"/>
          <w:szCs w:val="21"/>
        </w:rPr>
        <w:t>具体明细详见附件清单。</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二、质量要求：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1、</w:t>
      </w:r>
      <w:r>
        <w:rPr>
          <w:rFonts w:hint="eastAsia" w:ascii="宋体" w:hAnsi="Times New Roman" w:eastAsia="宋体" w:cs="宋体"/>
          <w:szCs w:val="21"/>
        </w:rPr>
        <w:t>本项目质量要求一次性通过工程验收，如达不到合同约定要求，该批次货物全部退货，由于整改造成的返工等各项费用由乙方自行承担，并赔偿甲方由此造成的人力物力损失。</w:t>
      </w:r>
    </w:p>
    <w:p>
      <w:pPr>
        <w:adjustRightInd w:val="0"/>
        <w:snapToGrid w:val="0"/>
        <w:spacing w:line="360" w:lineRule="auto"/>
        <w:ind w:firstLine="422" w:firstLineChars="200"/>
        <w:rPr>
          <w:rFonts w:ascii="宋体" w:hAnsi="Times New Roman" w:eastAsia="宋体" w:cs="宋体"/>
          <w:b/>
          <w:szCs w:val="21"/>
        </w:rPr>
      </w:pPr>
      <w:r>
        <w:rPr>
          <w:rFonts w:hint="eastAsia" w:ascii="宋体" w:hAnsi="Times New Roman" w:eastAsia="宋体" w:cs="宋体"/>
          <w:b/>
          <w:szCs w:val="21"/>
        </w:rPr>
        <w:t>2、在安装以及实际实施过程中，由于乙方原因出现质量问题所造成的一切经济损失由乙方负责，乙方提供的产品应符合甲方规定的规格型号以及技术参数、质量要求。</w:t>
      </w:r>
    </w:p>
    <w:p>
      <w:pPr>
        <w:adjustRightInd w:val="0"/>
        <w:snapToGrid w:val="0"/>
        <w:spacing w:line="360" w:lineRule="auto"/>
        <w:ind w:firstLine="422" w:firstLineChars="200"/>
        <w:rPr>
          <w:rFonts w:ascii="宋体" w:hAnsi="Times New Roman" w:eastAsia="宋体" w:cs="宋体"/>
          <w:szCs w:val="21"/>
        </w:rPr>
      </w:pPr>
      <w:r>
        <w:rPr>
          <w:rFonts w:hint="eastAsia" w:ascii="宋体" w:hAnsi="Times New Roman" w:eastAsia="宋体" w:cs="宋体"/>
          <w:b/>
          <w:szCs w:val="21"/>
        </w:rPr>
        <w:t>3、</w:t>
      </w:r>
      <w:r>
        <w:rPr>
          <w:rFonts w:hint="eastAsia" w:ascii="宋体" w:hAnsi="Times New Roman" w:eastAsia="宋体" w:cs="宋体"/>
          <w:szCs w:val="21"/>
        </w:rPr>
        <w:t>甲方可以自行或委托权威机构对每批次货物进行抽检，如检测结果达不到国家标准以及合同要求，甲方将追究乙方责任，同时检测费用由乙方承担。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w:t>
      </w:r>
      <w:r>
        <w:rPr>
          <w:rFonts w:hint="eastAsia" w:ascii="宋体" w:hAnsi="Times New Roman" w:eastAsia="宋体" w:cs="宋体"/>
          <w:b/>
          <w:bCs/>
          <w:szCs w:val="21"/>
        </w:rPr>
        <w:t>质保期：乙方所供货物免费质保期为</w:t>
      </w:r>
      <w:r>
        <w:rPr>
          <w:rFonts w:hint="eastAsia" w:ascii="宋体" w:hAnsi="Times New Roman" w:eastAsia="宋体" w:cs="宋体"/>
          <w:b/>
          <w:bCs/>
          <w:szCs w:val="21"/>
          <w:u w:val="single"/>
        </w:rPr>
        <w:t xml:space="preserve">  </w:t>
      </w:r>
      <w:r>
        <w:rPr>
          <w:rFonts w:hint="eastAsia" w:ascii="宋体" w:hAnsi="Times New Roman" w:eastAsia="宋体" w:cs="宋体"/>
          <w:b/>
          <w:bCs/>
          <w:color w:val="FF0000"/>
          <w:szCs w:val="21"/>
          <w:u w:val="single"/>
        </w:rPr>
        <w:t xml:space="preserve">2  </w:t>
      </w:r>
      <w:r>
        <w:rPr>
          <w:rFonts w:hint="eastAsia" w:ascii="宋体" w:hAnsi="Times New Roman" w:eastAsia="宋体" w:cs="宋体"/>
          <w:b/>
          <w:bCs/>
          <w:szCs w:val="21"/>
        </w:rPr>
        <w:t>年，计算时间以工程项目竣工验收合格之日起算。</w:t>
      </w:r>
      <w:r>
        <w:rPr>
          <w:rFonts w:hint="eastAsia" w:ascii="宋体" w:hAnsi="Times New Roman" w:eastAsia="宋体" w:cs="宋体"/>
          <w:szCs w:val="21"/>
        </w:rPr>
        <w:t>乙方应保证货物在正常使用条件下，在合同规定的质量保证期内，乙方应对产生的货物缺陷及故障负责。</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5、对质量保证期内出现的质量问题，乙方收到维修通知后,应在投标承诺的1小时内进行免费维修。无法维修或经两次维修仍不能修复的，乙方应该承担更换、退货、减少价款、赔偿经济损失等法律责任。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6、在乙方对质量保证期内出现的质量问题进行维修时，如需更换零部件(易损件除外),乙方应相应延长修补或更换部分的质量保证期, 修补或更换部分的质量保证期从修补或更换部分检验合格之日起重新计算。</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7、乙方不履行或履行不当上述维护义务，经过书面催告后仍不履行的，甲方可扣留质量保证金，并可追究乙方其他违约责任。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8、质量保证期内因甲方使用不当或自然灾害而造成的损坏，乙方不承担保修责任，但乙方有义务对此进行维修，维修发生的材料零件费、人工费由甲方承担。</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三、合同价款及支付</w:t>
      </w:r>
    </w:p>
    <w:p>
      <w:pPr>
        <w:tabs>
          <w:tab w:val="left" w:pos="840"/>
        </w:tabs>
        <w:adjustRightInd w:val="0"/>
        <w:snapToGrid w:val="0"/>
        <w:spacing w:line="360" w:lineRule="auto"/>
        <w:ind w:firstLine="420" w:firstLineChars="200"/>
        <w:rPr>
          <w:rFonts w:ascii="宋体" w:hAnsi="Times New Roman" w:eastAsia="宋体" w:cs="宋体"/>
          <w:b/>
          <w:szCs w:val="21"/>
        </w:rPr>
      </w:pPr>
      <w:r>
        <w:rPr>
          <w:rFonts w:hint="eastAsia" w:ascii="宋体" w:hAnsi="Times New Roman" w:eastAsia="宋体" w:cs="宋体"/>
          <w:szCs w:val="21"/>
        </w:rPr>
        <w:t>1、</w:t>
      </w:r>
      <w:r>
        <w:rPr>
          <w:rFonts w:hint="eastAsia" w:ascii="宋体" w:hAnsi="Times New Roman" w:eastAsia="宋体" w:cs="宋体"/>
          <w:b/>
          <w:szCs w:val="21"/>
        </w:rPr>
        <w:t>合同总价：</w:t>
      </w:r>
      <w:r>
        <w:rPr>
          <w:rFonts w:hint="eastAsia" w:ascii="宋体" w:hAnsi="Times New Roman" w:eastAsia="宋体" w:cs="宋体"/>
          <w:b/>
          <w:szCs w:val="21"/>
          <w:u w:val="single"/>
        </w:rPr>
        <w:t>人民币（大写）（￥</w:t>
      </w:r>
      <w:r>
        <w:rPr>
          <w:rFonts w:hint="eastAsia" w:ascii="宋体" w:hAnsi="Times New Roman" w:eastAsia="宋体" w:cs="宋体"/>
          <w:szCs w:val="21"/>
        </w:rPr>
        <w:t>＿＿＿</w:t>
      </w:r>
      <w:r>
        <w:rPr>
          <w:rFonts w:hint="eastAsia" w:ascii="宋体" w:hAnsi="Times New Roman" w:eastAsia="宋体" w:cs="宋体"/>
          <w:b/>
          <w:szCs w:val="21"/>
          <w:u w:val="single"/>
        </w:rPr>
        <w:t>）</w:t>
      </w:r>
      <w:r>
        <w:rPr>
          <w:rFonts w:hint="eastAsia" w:ascii="宋体" w:hAnsi="Times New Roman" w:eastAsia="宋体" w:cs="宋体"/>
          <w:b/>
          <w:szCs w:val="21"/>
        </w:rPr>
        <w:t>。</w:t>
      </w:r>
    </w:p>
    <w:p>
      <w:pPr>
        <w:tabs>
          <w:tab w:val="left" w:pos="840"/>
        </w:tabs>
        <w:adjustRightInd w:val="0"/>
        <w:snapToGrid w:val="0"/>
        <w:spacing w:line="360" w:lineRule="auto"/>
        <w:ind w:firstLine="422" w:firstLineChars="200"/>
        <w:rPr>
          <w:rFonts w:ascii="宋体" w:hAnsi="Times New Roman" w:eastAsia="宋体" w:cs="宋体"/>
          <w:b/>
          <w:szCs w:val="21"/>
          <w:u w:val="single"/>
        </w:rPr>
      </w:pPr>
      <w:r>
        <w:rPr>
          <w:rFonts w:hint="eastAsia" w:ascii="宋体" w:hAnsi="Times New Roman" w:eastAsia="宋体" w:cs="宋体"/>
          <w:b/>
          <w:szCs w:val="21"/>
        </w:rPr>
        <w:t>2、合同款支付方式：</w:t>
      </w:r>
      <w:r>
        <w:rPr>
          <w:rFonts w:hint="eastAsia" w:ascii="宋体" w:hAnsi="Times New Roman" w:eastAsia="宋体" w:cs="宋体"/>
          <w:b/>
          <w:szCs w:val="21"/>
          <w:u w:val="single"/>
        </w:rPr>
        <w:t>工程完工验收合格后一个月内付货款97%，剩余货款3%作质保金，待质保期到后一次性支付，不计利息。以银行承兑汇票或银行电汇方式支付货款。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四、供货要求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1、乙方所供应和安装的产品应完全符合中国的法律、法规、规范、行业标准的要求。上述所有规范中按最高标准执行。</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2、乙方应保证所供产品要求符合招标文件规定的要求。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3、乙方应保证所供产品是全新的、未使用过的，是用一流的工艺生产的，并完全符合国家、行业对于该类产品的质量标准，并符合国家环保标准。</w:t>
      </w:r>
    </w:p>
    <w:p>
      <w:pPr>
        <w:spacing w:after="120"/>
        <w:ind w:firstLine="420" w:firstLineChars="200"/>
        <w:rPr>
          <w:rFonts w:ascii="Times New Roman" w:hAnsi="Times New Roman" w:eastAsia="宋体" w:cs="Times New Roman"/>
          <w:szCs w:val="21"/>
        </w:rPr>
      </w:pPr>
      <w:r>
        <w:rPr>
          <w:rFonts w:hint="eastAsia" w:ascii="宋体" w:hAnsi="宋体" w:eastAsia="宋体" w:cs="宋体"/>
          <w:szCs w:val="21"/>
        </w:rPr>
        <w:t>4、管材到货甲方将安排检验，货物检验不合格，甲方有权要求调换，并对乙方处以合同金额*10%的罚金；二次抽检不合格的，甲方有权终止合同，乙方承担对甲方造成的各项损失。</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乙方应对本合同项下其承担的全部工作实施有效管理，以确保实施进度符合以下的要求：在合同签定后，根据甲方工程进度要求，分批完成供货、运输交付甲方使用。每批次产品进场前，应提供该批次产品详细清单，以供监理及甲方查验。延误工期，承包人按2000元/天赔偿，并承担相应损失。经催促后仍不能满足甲方进度要求的，甲方有权终止合同。施工期间，安全责任由乙方自行承担，给他人造成损失的，承担赔偿责任。施工期间，必须无条件服从施工现场各方管理人员的管理。工期提前不奖，赶工费不计。</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6、乙方提供的全部产品均应按标准保护措施进行包装，这类包装应适应于远距离运输、防潮、防震、防锈和防野蛮装卸，以确保货物安全无损地运抵指定现场。每一个包装箱内应附一份详细装箱单、制造厂家出具的质量检验证书（合格证）等。</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7、到货地点：甲方指定地点。</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8、在产品进行查验前，乙方应向甲方提供产品的有效的合格证明及其他证明产品符合合同要求的资料。甲方（或其代表）对产品的查验并不减免乙方对设备所应承担的责任，通过查验并不代表产品符合合同规定的要求。</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9、经甲方对乙方提供的产品进行验收，若发现乙方提供的产品不符合合同规定的质量要求，甲方可以拒绝接受该产品，乙方应更换被拒绝的产品，或者免费进行必要的修改以满足规定的要求，甲方也可选择解除合同。甲方拒收产品或者解除合同的，合同标的物毁损、丢失的风险由乙方承担。</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10、如果项目必需但合同又未作规定的需要乙方才能提供的技术文件，乙方也应及时向甲方提供。</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五、合同价款调整</w:t>
      </w:r>
    </w:p>
    <w:p>
      <w:pPr>
        <w:autoSpaceDE w:val="0"/>
        <w:autoSpaceDN w:val="0"/>
        <w:adjustRightInd w:val="0"/>
        <w:snapToGrid w:val="0"/>
        <w:spacing w:line="360" w:lineRule="auto"/>
        <w:ind w:firstLine="420" w:firstLineChars="200"/>
        <w:jc w:val="left"/>
        <w:rPr>
          <w:rFonts w:ascii="宋体" w:hAnsi="Times New Roman" w:eastAsia="宋体" w:cs="宋体"/>
          <w:b/>
          <w:kern w:val="0"/>
          <w:szCs w:val="21"/>
        </w:rPr>
      </w:pPr>
      <w:r>
        <w:rPr>
          <w:rFonts w:hint="eastAsia" w:ascii="宋体" w:hAnsi="Times New Roman" w:eastAsia="宋体" w:cs="宋体"/>
          <w:szCs w:val="21"/>
        </w:rPr>
        <w:t>1、本合同价格采用固定单价方式。</w:t>
      </w:r>
      <w:r>
        <w:rPr>
          <w:rFonts w:hint="eastAsia" w:ascii="宋体" w:hAnsi="Times New Roman" w:eastAsia="宋体" w:cs="宋体"/>
          <w:b/>
          <w:kern w:val="0"/>
          <w:szCs w:val="21"/>
        </w:rPr>
        <w:t>合同价款中包括的风险范围：除工程量变更、设计变更和招标人要求变动的内容以外的所有风险。</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2、合同单价包括了承包人在合同中承担的全部义务。承包人被认为已完全理解并确认了综合单价的正确性和充分性，其货物清单中的综合单价不作任何调整。</w:t>
      </w:r>
    </w:p>
    <w:p>
      <w:pPr>
        <w:tabs>
          <w:tab w:val="left" w:pos="-400"/>
        </w:tabs>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w:t>
      </w:r>
      <w:r>
        <w:rPr>
          <w:rFonts w:hint="eastAsia" w:ascii="宋体" w:hAnsi="Times New Roman" w:eastAsia="宋体" w:cs="宋体"/>
          <w:b/>
          <w:szCs w:val="21"/>
        </w:rPr>
        <w:t>结算方式：</w:t>
      </w:r>
      <w:r>
        <w:rPr>
          <w:rFonts w:hint="eastAsia" w:ascii="宋体" w:hAnsi="Times New Roman" w:eastAsia="宋体" w:cs="宋体"/>
          <w:b/>
          <w:szCs w:val="21"/>
          <w:u w:val="single"/>
        </w:rPr>
        <w:t>货款结算价=实际供货的数量×中标综合单价</w:t>
      </w:r>
      <w:r>
        <w:rPr>
          <w:rFonts w:hint="eastAsia" w:ascii="宋体" w:hAnsi="Times New Roman" w:eastAsia="宋体" w:cs="宋体"/>
          <w:szCs w:val="21"/>
        </w:rPr>
        <w:t>。</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六、质量索赔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质量保证期内或在合同规定的使用寿命内，如果产品的质量与合同要求的内容不符，或证实产品是有缺陷的，包括潜在缺陷或使用不符合要求的材料等，甲方有权根据当地有关部门或甲方委托的专业机构的检验结果或者证明文件向乙方提出索赔。即使质量保证期满，如果甲方发现产品与合同要求明显不符，或违反国家法律、法规或规范的强制性要求，甲方仍有权向乙方提出索赔。</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2、在质量保证期内，如果甲方对乙方负有的缺陷责任提出索赔，乙方应按照甲方选择的下列一种或多种方式解决索赔事宜：</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（1）乙方同意退货并用合同规定的货币将合同价款退还给甲方，并承担由此发生的一切损失和费用，包括利息、银行手续费、运费、保险费、检验费、仓储费、装卸费以及为保护退回产品所需的其他必要费用。</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（2）根据产品低劣程度、损失程度以及甲方所遭受损失的金额，经过买卖双方商定降低产品的价格。</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（3）乙方应承担退货和调货的一切费用和风险，并负担甲方蒙受的全部损失。同时，乙方应对更换件相应延长质量保证期。</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3、如果在甲方发出索赔通知后14天内，乙方未作答复，上述索赔应视为已被乙方接受,甲方可从应付货款或从乙方开具的履约担保中扣回索赔金额，不足部分，甲方可向乙方追偿。</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七、违约责任</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1、乙方应按照双方约定时间内完成供货完毕，并通过相关部门的验收。</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乙方应按照合同约定提供技术指导、质量保修等服务，如乙方未能及时提供服务，并在收到甲方的书面警告后不在指定的时间内改正，甲方有权雇用第三方提供服务，并有权从任何应付给乙方的款项中扣除所发生的费用加上5%的违约金，或作为债务从乙方处追回。</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3、上述供货人的违约情况如给甲方造成的损失超过约定的违约金，甲方有权要求乙方赔偿甲方的全部实际损失。</w:t>
      </w:r>
    </w:p>
    <w:p>
      <w:pPr>
        <w:adjustRightInd w:val="0"/>
        <w:snapToGrid w:val="0"/>
        <w:spacing w:before="120" w:beforeLines="50" w:after="120" w:afterLines="50" w:line="360" w:lineRule="auto"/>
        <w:rPr>
          <w:rFonts w:ascii="宋体" w:hAnsi="Times New Roman" w:eastAsia="宋体" w:cs="宋体"/>
          <w:szCs w:val="21"/>
        </w:rPr>
      </w:pPr>
      <w:r>
        <w:rPr>
          <w:rFonts w:hint="eastAsia" w:ascii="宋体" w:hAnsi="Times New Roman" w:eastAsia="宋体" w:cs="宋体"/>
          <w:b/>
          <w:szCs w:val="21"/>
        </w:rPr>
        <w:t>八、违约终止合同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1、在甲方对乙方违约而采取的任何补救措施不受影响的情况下，甲方可在下列情况下向乙方发出书面通知书，提出终止部分或全部合同：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（1）乙方拖延交货或拖延提供服务，经甲方书面催告后仍不能在催告规定的时间内交货或提供服务的，甲方可以终止合同；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（2）如果乙方未能履行合同规定的其它任何义务，经催告15天内仍未及时履行的；</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（3）如果甲方认为乙方在本合同的竞争或实施中有腐败和欺诈行为。</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2、如果乙方破产或丧失清偿能力，甲方可在任何时候以书面形式通知乙方终止合同而不给乙方补偿。该终止合同将不损害或影响甲方已经采取或将要采取任何行动或补救措施的权力。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3、如果甲方根据上述第1条的规定，解除了全部或部分合同，甲方可以依其认为适当的条件和方法购买与未交产品相类似的产品，乙方应对购买类似产品所超出的那部分费用负责。且乙方应继续执行合同中未解除的部分。</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4、甲方拖延支付合同价款超过60天，书面催告后，甲方仍不支付，乙方可以解除本合同。</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5、因一方违约终止合同的，违约方应支付给守约方相当于合同总金额5％的违约金。合同解除后，乙方应在15天内返还甲方已支付的产品供应款。</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九、不可抗力</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方与乙方中的任何一方由于不可抗力的原因不能履行合同时，应在事件发生后2天内向对方通报不能履行或不能完全履行的理由；在取得有关主管机关证明以后，允许延期履行、部分履行或者不履行合同，并根据情况可部分或全部免予承担违约责任。本条所述的“不可抗力”指那些不可预见、不可避免、不可克服的事件，包括但不限于：战争、严重火灾、洪水、台风、地震等事件，但不包括乙方的违约或疏忽。</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十、转让和分包</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乙方不得部分转让或全部转让其应履行的合同义务。</w:t>
      </w:r>
    </w:p>
    <w:p>
      <w:pPr>
        <w:adjustRightInd w:val="0"/>
        <w:snapToGrid w:val="0"/>
        <w:spacing w:before="120" w:beforeLines="50" w:after="120" w:afterLines="50" w:line="360" w:lineRule="auto"/>
        <w:rPr>
          <w:rFonts w:ascii="宋体" w:hAnsi="Times New Roman" w:eastAsia="宋体" w:cs="宋体"/>
          <w:b/>
          <w:szCs w:val="21"/>
        </w:rPr>
      </w:pPr>
      <w:r>
        <w:rPr>
          <w:rFonts w:hint="eastAsia" w:ascii="宋体" w:hAnsi="Times New Roman" w:eastAsia="宋体" w:cs="宋体"/>
          <w:b/>
          <w:szCs w:val="21"/>
        </w:rPr>
        <w:t>十一、争议解决</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甲乙双方应通过友好协商，解决在执行本合同过程中所发生的与本合同有关的一切争端。如协商不成，应向仪征市人民法院提起诉讼。</w:t>
      </w:r>
    </w:p>
    <w:p>
      <w:pPr>
        <w:adjustRightInd w:val="0"/>
        <w:snapToGrid w:val="0"/>
        <w:spacing w:before="120" w:beforeLines="50" w:after="120" w:afterLines="50" w:line="360" w:lineRule="auto"/>
        <w:rPr>
          <w:rFonts w:ascii="宋体" w:hAnsi="Times New Roman" w:eastAsia="宋体" w:cs="宋体"/>
          <w:b/>
          <w:bCs/>
          <w:szCs w:val="21"/>
        </w:rPr>
      </w:pPr>
      <w:r>
        <w:rPr>
          <w:rFonts w:hint="eastAsia" w:ascii="宋体" w:hAnsi="Times New Roman" w:eastAsia="宋体" w:cs="宋体"/>
          <w:b/>
          <w:szCs w:val="21"/>
        </w:rPr>
        <w:t>十二、合同生效及其它</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1、本合同自双方法定代表人或其合法代理人签署，并加盖单位公章或合同专用章</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后生效。</w:t>
      </w:r>
    </w:p>
    <w:p>
      <w:pPr>
        <w:adjustRightInd w:val="0"/>
        <w:snapToGrid w:val="0"/>
        <w:spacing w:line="360" w:lineRule="auto"/>
        <w:ind w:firstLine="420" w:firstLineChars="200"/>
        <w:rPr>
          <w:rFonts w:ascii="宋体" w:hAnsi="Times New Roman" w:eastAsia="宋体" w:cs="宋体"/>
          <w:szCs w:val="21"/>
        </w:rPr>
      </w:pPr>
      <w:r>
        <w:rPr>
          <w:rFonts w:hint="eastAsia" w:ascii="宋体" w:hAnsi="Times New Roman" w:eastAsia="宋体" w:cs="宋体"/>
          <w:szCs w:val="21"/>
        </w:rPr>
        <w:t>2、本合同一式</w:t>
      </w:r>
      <w:r>
        <w:rPr>
          <w:rFonts w:hint="eastAsia" w:ascii="宋体" w:hAnsi="Times New Roman" w:eastAsia="宋体" w:cs="宋体"/>
          <w:szCs w:val="21"/>
          <w:u w:val="single"/>
        </w:rPr>
        <w:t>6</w:t>
      </w:r>
      <w:r>
        <w:rPr>
          <w:rFonts w:hint="eastAsia" w:ascii="宋体" w:hAnsi="Times New Roman" w:eastAsia="宋体" w:cs="宋体"/>
          <w:szCs w:val="21"/>
        </w:rPr>
        <w:t>份，双方各执</w:t>
      </w:r>
      <w:r>
        <w:rPr>
          <w:rFonts w:hint="eastAsia" w:ascii="宋体" w:hAnsi="Times New Roman" w:eastAsia="宋体" w:cs="宋体"/>
          <w:szCs w:val="21"/>
          <w:u w:val="single"/>
        </w:rPr>
        <w:t>3</w:t>
      </w:r>
      <w:r>
        <w:rPr>
          <w:rFonts w:hint="eastAsia" w:ascii="宋体" w:hAnsi="Times New Roman" w:eastAsia="宋体" w:cs="宋体"/>
          <w:szCs w:val="21"/>
        </w:rPr>
        <w:t>份。如需修改或补充合同内容，经协商一致，双方应签订补充协议，补充协议与本合同具有同等效力。</w:t>
      </w:r>
    </w:p>
    <w:p>
      <w:pPr>
        <w:spacing w:line="360" w:lineRule="auto"/>
        <w:rPr>
          <w:rFonts w:ascii="宋体" w:hAnsi="Times New Roman" w:eastAsia="宋体" w:cs="宋体"/>
          <w:szCs w:val="21"/>
        </w:rPr>
      </w:pPr>
    </w:p>
    <w:p>
      <w:pPr>
        <w:spacing w:after="120"/>
        <w:rPr>
          <w:rFonts w:ascii="Times New Roman" w:hAnsi="Times New Roman" w:eastAsia="宋体" w:cs="Times New Roman"/>
          <w:szCs w:val="21"/>
        </w:rPr>
      </w:pPr>
    </w:p>
    <w:tbl>
      <w:tblPr>
        <w:tblStyle w:val="23"/>
        <w:tblW w:w="0" w:type="auto"/>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甲方（盖章）：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乙方（盖章）：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 xml:space="preserve">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法定代表人或授权代表（签字或盖章）：</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 xml:space="preserve">日期：      年    月    日  </w:t>
            </w:r>
          </w:p>
        </w:tc>
        <w:tc>
          <w:tcPr>
            <w:tcW w:w="4238" w:type="dxa"/>
            <w:tcBorders>
              <w:top w:val="nil"/>
              <w:left w:val="nil"/>
              <w:bottom w:val="nil"/>
              <w:right w:val="nil"/>
            </w:tcBorders>
          </w:tcPr>
          <w:p>
            <w:pPr>
              <w:snapToGrid w:val="0"/>
              <w:spacing w:before="120" w:after="120" w:line="360" w:lineRule="auto"/>
              <w:rPr>
                <w:rFonts w:ascii="宋体" w:hAnsi="宋体" w:eastAsia="宋体" w:cs="Times New Roman"/>
                <w:szCs w:val="21"/>
              </w:rPr>
            </w:pPr>
            <w:r>
              <w:rPr>
                <w:rFonts w:hint="eastAsia" w:ascii="宋体" w:hAnsi="宋体" w:eastAsia="宋体" w:cs="Times New Roman"/>
                <w:szCs w:val="21"/>
              </w:rPr>
              <w:t>日期：      年    月    日</w:t>
            </w:r>
          </w:p>
        </w:tc>
      </w:tr>
    </w:tbl>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szCs w:val="20"/>
        </w:rPr>
      </w:pPr>
      <w:r>
        <w:rPr>
          <w:rFonts w:hint="eastAsia" w:ascii="Times New Roman" w:hAnsi="Times New Roman" w:eastAsia="宋体" w:cs="Times New Roman"/>
          <w:b/>
          <w:sz w:val="32"/>
          <w:szCs w:val="32"/>
        </w:rPr>
        <w:t>第五章项目需求</w:t>
      </w:r>
    </w:p>
    <w:p>
      <w:pPr>
        <w:spacing w:after="120"/>
        <w:rPr>
          <w:rFonts w:ascii="Times New Roman" w:hAnsi="Times New Roman" w:eastAsia="宋体" w:cs="Times New Roman"/>
          <w:szCs w:val="20"/>
        </w:rPr>
      </w:pPr>
      <w:r>
        <w:rPr>
          <w:rFonts w:ascii="Times New Roman" w:hAnsi="Times New Roman" w:eastAsia="宋体" w:cs="Times New Roman"/>
          <w:szCs w:val="20"/>
        </w:rPr>
        <w:t>一、技术参数要求</w:t>
      </w:r>
    </w:p>
    <w:tbl>
      <w:tblPr>
        <w:tblStyle w:val="23"/>
        <w:tblW w:w="9860" w:type="dxa"/>
        <w:tblInd w:w="93" w:type="dxa"/>
        <w:tblLayout w:type="fixed"/>
        <w:tblCellMar>
          <w:top w:w="0" w:type="dxa"/>
          <w:left w:w="108" w:type="dxa"/>
          <w:bottom w:w="0" w:type="dxa"/>
          <w:right w:w="108" w:type="dxa"/>
        </w:tblCellMar>
      </w:tblPr>
      <w:tblGrid>
        <w:gridCol w:w="502"/>
        <w:gridCol w:w="949"/>
        <w:gridCol w:w="1966"/>
        <w:gridCol w:w="1546"/>
        <w:gridCol w:w="562"/>
        <w:gridCol w:w="722"/>
        <w:gridCol w:w="1096"/>
        <w:gridCol w:w="1102"/>
        <w:gridCol w:w="1415"/>
      </w:tblGrid>
      <w:tr>
        <w:tblPrEx>
          <w:tblCellMar>
            <w:top w:w="0" w:type="dxa"/>
            <w:left w:w="108" w:type="dxa"/>
            <w:bottom w:w="0" w:type="dxa"/>
            <w:right w:w="108" w:type="dxa"/>
          </w:tblCellMar>
        </w:tblPrEx>
        <w:trPr>
          <w:trHeight w:val="799"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序号</w:t>
            </w:r>
          </w:p>
        </w:tc>
        <w:tc>
          <w:tcPr>
            <w:tcW w:w="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材料名称</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参数要求</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规格型号</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单位</w:t>
            </w:r>
          </w:p>
        </w:tc>
        <w:tc>
          <w:tcPr>
            <w:tcW w:w="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数量</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最高限价   单价（元）</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最高限价   合价（元）</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备注</w:t>
            </w:r>
          </w:p>
        </w:tc>
      </w:tr>
      <w:tr>
        <w:tblPrEx>
          <w:tblCellMar>
            <w:top w:w="0" w:type="dxa"/>
            <w:left w:w="108" w:type="dxa"/>
            <w:bottom w:w="0" w:type="dxa"/>
            <w:right w:w="108" w:type="dxa"/>
          </w:tblCellMar>
        </w:tblPrEx>
        <w:trPr>
          <w:trHeight w:val="1602"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1</w:t>
            </w: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Cs w:val="21"/>
              </w:rPr>
            </w:pPr>
            <w:r>
              <w:rPr>
                <w:rFonts w:hint="eastAsia" w:cs="Arial" w:asciiTheme="minorEastAsia" w:hAnsiTheme="minorEastAsia"/>
                <w:kern w:val="0"/>
                <w:szCs w:val="21"/>
              </w:rPr>
              <w:t>D630焊接钢管</w:t>
            </w:r>
          </w:p>
        </w:tc>
        <w:tc>
          <w:tcPr>
            <w:tcW w:w="19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Arial" w:asciiTheme="minorEastAsia" w:hAnsiTheme="minorEastAsia"/>
                <w:kern w:val="0"/>
                <w:szCs w:val="21"/>
              </w:rPr>
            </w:pPr>
            <w:r>
              <w:rPr>
                <w:rFonts w:hint="eastAsia" w:cs="Arial" w:asciiTheme="minorEastAsia" w:hAnsiTheme="minorEastAsia"/>
                <w:kern w:val="0"/>
                <w:szCs w:val="21"/>
              </w:rPr>
              <w:t>除锈及内防腐要求：1、须先作除锈处理后再涂防腐材料，除锈等级应不低于《涂装前钢材表面锈蚀等级和除锈等级》GB/T8923-2011中规定的Sa2.5级;内表面经喷(抛)射处理后，应用清洁、干燥、无油的压缩空气将管道内部的砂粒、尘埃、锈粉等微尘清除干净。 2、内防腐:涂层选用厚浆型环氧聚氨酯复合涂层，涂层结构为厚浆型环氧聚氨酯底漆1道(含除锈、转锈成份，干膜厚度≥250μm)，厚浆型环氧聚氨酯面漆1道(干膜厚度≥250μm)，总干膜厚度≥500μm，做法见《钢制管道液体环氧涂料内防腐层技术标准》SY/T0457-2019。</w:t>
            </w: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D630，10mm厚</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米</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223</w:t>
            </w:r>
          </w:p>
        </w:tc>
        <w:tc>
          <w:tcPr>
            <w:tcW w:w="10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Arial" w:asciiTheme="minorEastAsia" w:hAnsiTheme="minorEastAsia"/>
                <w:color w:val="000000"/>
                <w:kern w:val="0"/>
                <w:szCs w:val="21"/>
              </w:rPr>
            </w:pPr>
            <w:r>
              <w:rPr>
                <w:rFonts w:hint="eastAsia" w:ascii="宋体" w:hAnsi="宋体" w:eastAsia="宋体" w:cs="宋体"/>
                <w:color w:val="000000"/>
                <w:kern w:val="0"/>
                <w:szCs w:val="21"/>
                <w:lang w:bidi="ar"/>
              </w:rPr>
              <w:t>767</w:t>
            </w:r>
          </w:p>
        </w:tc>
        <w:tc>
          <w:tcPr>
            <w:tcW w:w="110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Arial" w:asciiTheme="minorEastAsia" w:hAnsiTheme="minorEastAsia"/>
                <w:color w:val="000000"/>
                <w:kern w:val="0"/>
                <w:szCs w:val="21"/>
              </w:rPr>
            </w:pPr>
            <w:r>
              <w:rPr>
                <w:rFonts w:hint="eastAsia" w:ascii="宋体" w:hAnsi="宋体" w:eastAsia="宋体" w:cs="宋体"/>
                <w:color w:val="000000"/>
                <w:kern w:val="0"/>
                <w:szCs w:val="21"/>
                <w:lang w:bidi="ar"/>
              </w:rPr>
              <w:t>171041</w:t>
            </w:r>
          </w:p>
        </w:tc>
        <w:tc>
          <w:tcPr>
            <w:tcW w:w="1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Arial" w:asciiTheme="minorEastAsia" w:hAnsiTheme="minorEastAsia"/>
                <w:b/>
                <w:bCs/>
                <w:color w:val="000000"/>
                <w:kern w:val="0"/>
                <w:szCs w:val="21"/>
              </w:rPr>
            </w:pPr>
            <w:r>
              <w:rPr>
                <w:rFonts w:hint="eastAsia" w:cs="Arial" w:asciiTheme="minorEastAsia" w:hAnsiTheme="minorEastAsia"/>
                <w:b/>
                <w:bCs/>
                <w:color w:val="000000"/>
                <w:kern w:val="0"/>
                <w:szCs w:val="21"/>
              </w:rPr>
              <w:t>外防腐要求：</w:t>
            </w:r>
            <w:r>
              <w:rPr>
                <w:rFonts w:hint="eastAsia" w:cs="Arial" w:asciiTheme="minorEastAsia" w:hAnsiTheme="minorEastAsia"/>
                <w:color w:val="000000"/>
                <w:kern w:val="0"/>
                <w:szCs w:val="21"/>
              </w:rPr>
              <w:t>采用IPN8710-1新型聚合物防腐涂料(底漆);采用IPN8710-3厚浆糊状防腐涂料(面漆)，其结构为:底漆一玻璃纤维布一底漆一玻璃纤维布一两道面漆，干膜厚度≥500um。</w:t>
            </w:r>
          </w:p>
        </w:tc>
      </w:tr>
      <w:tr>
        <w:tblPrEx>
          <w:tblCellMar>
            <w:top w:w="0" w:type="dxa"/>
            <w:left w:w="108" w:type="dxa"/>
            <w:bottom w:w="0" w:type="dxa"/>
            <w:right w:w="108" w:type="dxa"/>
          </w:tblCellMar>
        </w:tblPrEx>
        <w:trPr>
          <w:trHeight w:val="1602"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2</w:t>
            </w: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Cs w:val="21"/>
              </w:rPr>
            </w:pPr>
            <w:r>
              <w:rPr>
                <w:rFonts w:hint="eastAsia" w:cs="Arial" w:asciiTheme="minorEastAsia" w:hAnsiTheme="minorEastAsia"/>
                <w:kern w:val="0"/>
                <w:szCs w:val="21"/>
              </w:rPr>
              <w:t>D1220焊接钢管</w:t>
            </w:r>
          </w:p>
        </w:tc>
        <w:tc>
          <w:tcPr>
            <w:tcW w:w="1966" w:type="dxa"/>
            <w:vMerge w:val="continue"/>
            <w:tcBorders>
              <w:top w:val="nil"/>
              <w:left w:val="single" w:color="auto" w:sz="4" w:space="0"/>
              <w:bottom w:val="single" w:color="000000" w:sz="4" w:space="0"/>
              <w:right w:val="single" w:color="auto" w:sz="4" w:space="0"/>
            </w:tcBorders>
            <w:vAlign w:val="center"/>
          </w:tcPr>
          <w:p>
            <w:pPr>
              <w:widowControl/>
              <w:jc w:val="left"/>
              <w:rPr>
                <w:rFonts w:cs="Arial" w:asciiTheme="minorEastAsia" w:hAnsiTheme="minorEastAsia"/>
                <w:kern w:val="0"/>
                <w:szCs w:val="21"/>
              </w:rPr>
            </w:pP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D1220，12mm厚</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米</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3</w:t>
            </w:r>
          </w:p>
        </w:tc>
        <w:tc>
          <w:tcPr>
            <w:tcW w:w="10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Arial" w:asciiTheme="minorEastAsia" w:hAnsiTheme="minorEastAsia"/>
                <w:color w:val="000000"/>
                <w:kern w:val="0"/>
                <w:szCs w:val="21"/>
              </w:rPr>
            </w:pPr>
            <w:r>
              <w:rPr>
                <w:rFonts w:hint="eastAsia" w:ascii="宋体" w:hAnsi="宋体" w:eastAsia="宋体" w:cs="宋体"/>
                <w:color w:val="000000"/>
                <w:kern w:val="0"/>
                <w:szCs w:val="21"/>
                <w:lang w:bidi="ar"/>
              </w:rPr>
              <w:t>2080</w:t>
            </w:r>
          </w:p>
        </w:tc>
        <w:tc>
          <w:tcPr>
            <w:tcW w:w="110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Arial" w:asciiTheme="minorEastAsia" w:hAnsiTheme="minorEastAsia"/>
                <w:color w:val="000000"/>
                <w:kern w:val="0"/>
                <w:szCs w:val="21"/>
              </w:rPr>
            </w:pPr>
            <w:r>
              <w:rPr>
                <w:rFonts w:hint="eastAsia" w:ascii="宋体" w:hAnsi="宋体" w:eastAsia="宋体" w:cs="宋体"/>
                <w:color w:val="000000"/>
                <w:kern w:val="0"/>
                <w:szCs w:val="21"/>
                <w:lang w:bidi="ar"/>
              </w:rPr>
              <w:t>6240</w:t>
            </w: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cs="Arial" w:asciiTheme="minorEastAsia" w:hAnsiTheme="minorEastAsia"/>
                <w:b/>
                <w:bCs/>
                <w:color w:val="000000"/>
                <w:kern w:val="0"/>
                <w:szCs w:val="21"/>
              </w:rPr>
            </w:pPr>
          </w:p>
        </w:tc>
      </w:tr>
      <w:tr>
        <w:tblPrEx>
          <w:tblCellMar>
            <w:top w:w="0" w:type="dxa"/>
            <w:left w:w="108" w:type="dxa"/>
            <w:bottom w:w="0" w:type="dxa"/>
            <w:right w:w="108" w:type="dxa"/>
          </w:tblCellMar>
        </w:tblPrEx>
        <w:trPr>
          <w:trHeight w:val="1602" w:hRule="atLeast"/>
        </w:trPr>
        <w:tc>
          <w:tcPr>
            <w:tcW w:w="502" w:type="dxa"/>
            <w:tcBorders>
              <w:top w:val="nil"/>
              <w:left w:val="single" w:color="auto" w:sz="4" w:space="0"/>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3</w:t>
            </w:r>
          </w:p>
        </w:tc>
        <w:tc>
          <w:tcPr>
            <w:tcW w:w="949"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kern w:val="0"/>
                <w:szCs w:val="21"/>
              </w:rPr>
            </w:pPr>
            <w:r>
              <w:rPr>
                <w:rFonts w:hint="eastAsia" w:cs="Arial" w:asciiTheme="minorEastAsia" w:hAnsiTheme="minorEastAsia"/>
                <w:kern w:val="0"/>
                <w:szCs w:val="21"/>
              </w:rPr>
              <w:t>D820焊接钢管（拖拉管）</w:t>
            </w:r>
          </w:p>
        </w:tc>
        <w:tc>
          <w:tcPr>
            <w:tcW w:w="1966" w:type="dxa"/>
            <w:vMerge w:val="continue"/>
            <w:tcBorders>
              <w:top w:val="nil"/>
              <w:left w:val="single" w:color="auto" w:sz="4" w:space="0"/>
              <w:bottom w:val="nil"/>
              <w:right w:val="single" w:color="auto" w:sz="4" w:space="0"/>
            </w:tcBorders>
            <w:vAlign w:val="center"/>
          </w:tcPr>
          <w:p>
            <w:pPr>
              <w:widowControl/>
              <w:jc w:val="left"/>
              <w:rPr>
                <w:rFonts w:cs="Arial" w:asciiTheme="minorEastAsia" w:hAnsiTheme="minorEastAsia"/>
                <w:kern w:val="0"/>
                <w:szCs w:val="21"/>
              </w:rPr>
            </w:pPr>
          </w:p>
        </w:tc>
        <w:tc>
          <w:tcPr>
            <w:tcW w:w="1546"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D820，12mm厚</w:t>
            </w:r>
          </w:p>
        </w:tc>
        <w:tc>
          <w:tcPr>
            <w:tcW w:w="562"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米</w:t>
            </w:r>
          </w:p>
        </w:tc>
        <w:tc>
          <w:tcPr>
            <w:tcW w:w="722"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580</w:t>
            </w:r>
          </w:p>
        </w:tc>
        <w:tc>
          <w:tcPr>
            <w:tcW w:w="1096" w:type="dxa"/>
            <w:tcBorders>
              <w:top w:val="nil"/>
              <w:left w:val="nil"/>
              <w:bottom w:val="nil"/>
              <w:right w:val="single" w:color="auto" w:sz="4" w:space="0"/>
            </w:tcBorders>
            <w:shd w:val="clear" w:color="auto" w:fill="auto"/>
            <w:vAlign w:val="center"/>
          </w:tcPr>
          <w:p>
            <w:pPr>
              <w:widowControl/>
              <w:jc w:val="center"/>
              <w:textAlignment w:val="center"/>
              <w:rPr>
                <w:rFonts w:cs="Arial" w:asciiTheme="minorEastAsia" w:hAnsiTheme="minorEastAsia"/>
                <w:color w:val="000000"/>
                <w:kern w:val="0"/>
                <w:szCs w:val="21"/>
              </w:rPr>
            </w:pPr>
            <w:r>
              <w:rPr>
                <w:rFonts w:hint="eastAsia" w:ascii="宋体" w:hAnsi="宋体" w:eastAsia="宋体" w:cs="宋体"/>
                <w:color w:val="000000"/>
                <w:kern w:val="0"/>
                <w:szCs w:val="21"/>
                <w:lang w:bidi="ar"/>
              </w:rPr>
              <w:t>1143</w:t>
            </w:r>
          </w:p>
        </w:tc>
        <w:tc>
          <w:tcPr>
            <w:tcW w:w="1102" w:type="dxa"/>
            <w:tcBorders>
              <w:top w:val="nil"/>
              <w:left w:val="nil"/>
              <w:bottom w:val="nil"/>
              <w:right w:val="single" w:color="auto" w:sz="4" w:space="0"/>
            </w:tcBorders>
            <w:shd w:val="clear" w:color="auto" w:fill="auto"/>
            <w:vAlign w:val="center"/>
          </w:tcPr>
          <w:p>
            <w:pPr>
              <w:widowControl/>
              <w:jc w:val="center"/>
              <w:textAlignment w:val="center"/>
              <w:rPr>
                <w:rFonts w:cs="Arial" w:asciiTheme="minorEastAsia" w:hAnsiTheme="minorEastAsia"/>
                <w:color w:val="000000"/>
                <w:kern w:val="0"/>
                <w:szCs w:val="21"/>
              </w:rPr>
            </w:pPr>
            <w:r>
              <w:rPr>
                <w:rFonts w:hint="eastAsia" w:ascii="宋体" w:hAnsi="宋体" w:eastAsia="宋体" w:cs="宋体"/>
                <w:color w:val="000000"/>
                <w:kern w:val="0"/>
                <w:szCs w:val="21"/>
                <w:lang w:bidi="ar"/>
              </w:rPr>
              <w:t>662940</w:t>
            </w:r>
          </w:p>
        </w:tc>
        <w:tc>
          <w:tcPr>
            <w:tcW w:w="1415" w:type="dxa"/>
            <w:tcBorders>
              <w:top w:val="nil"/>
              <w:left w:val="nil"/>
              <w:bottom w:val="nil"/>
              <w:right w:val="single" w:color="auto" w:sz="4" w:space="0"/>
            </w:tcBorders>
            <w:shd w:val="clear" w:color="auto" w:fill="auto"/>
            <w:vAlign w:val="center"/>
          </w:tcPr>
          <w:p>
            <w:pPr>
              <w:widowControl/>
              <w:jc w:val="left"/>
              <w:rPr>
                <w:rFonts w:cs="Arial" w:asciiTheme="minorEastAsia" w:hAnsiTheme="minorEastAsia"/>
                <w:b/>
                <w:bCs/>
                <w:color w:val="000000"/>
                <w:kern w:val="0"/>
                <w:szCs w:val="21"/>
              </w:rPr>
            </w:pPr>
            <w:r>
              <w:rPr>
                <w:rFonts w:hint="eastAsia" w:cs="Arial" w:asciiTheme="minorEastAsia" w:hAnsiTheme="minorEastAsia"/>
                <w:b/>
                <w:bCs/>
                <w:color w:val="000000"/>
                <w:kern w:val="0"/>
                <w:szCs w:val="21"/>
              </w:rPr>
              <w:t>外防腐要求：</w:t>
            </w:r>
            <w:r>
              <w:rPr>
                <w:rFonts w:hint="eastAsia" w:cs="Arial" w:asciiTheme="minorEastAsia" w:hAnsiTheme="minorEastAsia"/>
                <w:color w:val="000000"/>
                <w:kern w:val="0"/>
                <w:szCs w:val="21"/>
              </w:rPr>
              <w:t>采用702环氧富锌底漆和842环氧云铁底漆各一道，546超厚型环氧树脂漆三道。</w:t>
            </w:r>
          </w:p>
        </w:tc>
      </w:tr>
      <w:tr>
        <w:tblPrEx>
          <w:tblCellMar>
            <w:top w:w="0" w:type="dxa"/>
            <w:left w:w="108" w:type="dxa"/>
            <w:bottom w:w="0" w:type="dxa"/>
            <w:right w:w="108" w:type="dxa"/>
          </w:tblCellMar>
        </w:tblPrEx>
        <w:trPr>
          <w:trHeight w:val="551"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4</w:t>
            </w:r>
          </w:p>
        </w:tc>
        <w:tc>
          <w:tcPr>
            <w:tcW w:w="68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合计</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Cs w:val="21"/>
                <w:lang w:bidi="ar"/>
              </w:rPr>
              <w:t>840221</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Arial" w:asciiTheme="minorEastAsia" w:hAnsiTheme="minorEastAsia"/>
                <w:b/>
                <w:bCs/>
                <w:color w:val="000000"/>
                <w:kern w:val="0"/>
                <w:szCs w:val="21"/>
              </w:rPr>
            </w:pPr>
          </w:p>
        </w:tc>
      </w:tr>
    </w:tbl>
    <w:p>
      <w:pPr>
        <w:spacing w:after="120"/>
        <w:rPr>
          <w:rFonts w:ascii="Times New Roman" w:hAnsi="Times New Roman" w:eastAsia="宋体" w:cs="Times New Roman"/>
          <w:szCs w:val="20"/>
        </w:rPr>
      </w:pPr>
    </w:p>
    <w:p>
      <w:pPr>
        <w:tabs>
          <w:tab w:val="left" w:pos="0"/>
        </w:tabs>
        <w:spacing w:before="340" w:after="330" w:line="300" w:lineRule="exact"/>
        <w:outlineLvl w:val="0"/>
        <w:rPr>
          <w:rFonts w:ascii="宋体" w:hAnsi="宋体" w:eastAsia="宋体" w:cs="宋体"/>
          <w:color w:val="000000"/>
          <w:szCs w:val="20"/>
        </w:rPr>
      </w:pPr>
      <w:r>
        <w:rPr>
          <w:rFonts w:hint="eastAsia" w:ascii="Times New Roman" w:hAnsi="Times New Roman" w:eastAsia="宋体" w:cs="Times New Roman"/>
          <w:b/>
          <w:kern w:val="44"/>
          <w:sz w:val="24"/>
          <w:szCs w:val="24"/>
        </w:rPr>
        <w:t>注：</w:t>
      </w:r>
      <w:r>
        <w:rPr>
          <w:rFonts w:hint="eastAsia" w:ascii="宋体" w:hAnsi="宋体" w:eastAsia="宋体" w:cs="宋体"/>
          <w:color w:val="000000"/>
          <w:szCs w:val="20"/>
        </w:rPr>
        <w:t>投标人的投标报价不得超过公布的合价最高投标限价和各项单价最高限价，否则按废标处理。所有报价均包含配件费用。</w:t>
      </w:r>
    </w:p>
    <w:p>
      <w:pPr>
        <w:tabs>
          <w:tab w:val="left" w:pos="0"/>
        </w:tabs>
        <w:spacing w:before="340" w:after="330" w:line="300" w:lineRule="exact"/>
        <w:outlineLvl w:val="0"/>
        <w:rPr>
          <w:rFonts w:ascii="Times New Roman" w:hAnsi="Times New Roman" w:eastAsia="宋体" w:cs="Times New Roman"/>
          <w:b/>
          <w:kern w:val="44"/>
          <w:sz w:val="24"/>
          <w:szCs w:val="24"/>
        </w:rPr>
      </w:pPr>
      <w:r>
        <w:rPr>
          <w:rFonts w:hint="eastAsia" w:ascii="宋体" w:hAnsi="宋体" w:eastAsia="宋体" w:cs="宋体"/>
          <w:color w:val="000000"/>
          <w:szCs w:val="20"/>
        </w:rPr>
        <w:t>二、其他要求</w:t>
      </w:r>
    </w:p>
    <w:p>
      <w:pPr>
        <w:widowControl/>
        <w:spacing w:line="30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1、本项目要求中标单位提供焊机，无需焊接。</w:t>
      </w:r>
    </w:p>
    <w:p>
      <w:pPr>
        <w:spacing w:after="120" w:line="300" w:lineRule="exact"/>
        <w:rPr>
          <w:rFonts w:ascii="宋体" w:hAnsi="宋体" w:eastAsia="宋体" w:cs="宋体"/>
          <w:color w:val="000000"/>
          <w:kern w:val="0"/>
          <w:szCs w:val="21"/>
        </w:rPr>
      </w:pPr>
      <w:r>
        <w:rPr>
          <w:rFonts w:hint="eastAsia" w:ascii="Times New Roman" w:hAnsi="Times New Roman" w:eastAsia="宋体" w:cs="Times New Roman"/>
          <w:szCs w:val="20"/>
        </w:rPr>
        <w:t xml:space="preserve">  2、</w:t>
      </w:r>
      <w:r>
        <w:rPr>
          <w:rFonts w:hint="eastAsia" w:ascii="宋体" w:hAnsi="宋体" w:eastAsia="宋体" w:cs="宋体"/>
          <w:color w:val="000000"/>
          <w:kern w:val="0"/>
          <w:szCs w:val="21"/>
        </w:rPr>
        <w:t>管材必须是全新料制成，到货甲方将安排检验，货物检验不合格，甲方有权要求调换，并对乙方处以合同金额*10%的罚金；二次抽检不合格的，甲方有权终止合同，乙方承担对甲方造成的各项损失。</w:t>
      </w:r>
    </w:p>
    <w:p>
      <w:pPr>
        <w:spacing w:after="120" w:line="300" w:lineRule="exact"/>
        <w:ind w:firstLine="210" w:firstLineChars="100"/>
        <w:rPr>
          <w:rFonts w:ascii="Times New Roman" w:hAnsi="Times New Roman" w:eastAsia="宋体" w:cs="Times New Roman"/>
          <w:szCs w:val="20"/>
        </w:rPr>
      </w:pPr>
      <w:r>
        <w:rPr>
          <w:rFonts w:hint="eastAsia" w:ascii="宋体" w:hAnsi="宋体" w:eastAsia="宋体" w:cs="宋体"/>
          <w:color w:val="000000"/>
          <w:kern w:val="0"/>
          <w:szCs w:val="21"/>
        </w:rPr>
        <w:t>3、所供管材必须注明生产厂家品牌、规格、执行标准、生产日期等标识。</w:t>
      </w:r>
    </w:p>
    <w:p>
      <w:pPr>
        <w:spacing w:after="120"/>
        <w:rPr>
          <w:rFonts w:ascii="Times New Roman" w:hAnsi="Times New Roman" w:eastAsia="宋体" w:cs="Times New Roman"/>
          <w:b/>
          <w:sz w:val="32"/>
          <w:szCs w:val="32"/>
        </w:rPr>
      </w:pPr>
    </w:p>
    <w:p>
      <w:pPr>
        <w:spacing w:after="12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第六章 投标文件格式</w:t>
      </w:r>
    </w:p>
    <w:p>
      <w:pPr>
        <w:spacing w:before="340" w:after="330" w:line="578" w:lineRule="auto"/>
        <w:outlineLvl w:val="0"/>
        <w:rPr>
          <w:rFonts w:ascii="Times New Roman" w:hAnsi="Times New Roman" w:eastAsia="宋体" w:cs="Times New Roman"/>
          <w:b/>
          <w:kern w:val="44"/>
          <w:sz w:val="28"/>
          <w:szCs w:val="28"/>
        </w:rPr>
      </w:pPr>
      <w:r>
        <w:rPr>
          <w:rFonts w:hint="eastAsia" w:ascii="Times New Roman" w:hAnsi="Times New Roman" w:eastAsia="宋体" w:cs="Times New Roman"/>
          <w:b/>
          <w:kern w:val="44"/>
          <w:sz w:val="28"/>
          <w:szCs w:val="28"/>
        </w:rPr>
        <w:t>资格审查部分</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投标申请人资格</w:t>
      </w:r>
      <w:r>
        <w:rPr>
          <w:rFonts w:hint="eastAsia" w:ascii="Calibri" w:hAnsi="Calibri" w:eastAsia="宋体" w:cs="Times New Roman"/>
          <w:b/>
          <w:sz w:val="44"/>
          <w:szCs w:val="44"/>
        </w:rPr>
        <w:t>审查</w:t>
      </w:r>
    </w:p>
    <w:p>
      <w:pPr>
        <w:spacing w:line="360" w:lineRule="auto"/>
        <w:jc w:val="center"/>
        <w:rPr>
          <w:rFonts w:ascii="Calibri" w:hAnsi="Calibri" w:eastAsia="宋体" w:cs="Times New Roman"/>
          <w:b/>
          <w:sz w:val="44"/>
          <w:szCs w:val="44"/>
        </w:rPr>
      </w:pPr>
      <w:r>
        <w:rPr>
          <w:rFonts w:ascii="Calibri" w:hAnsi="Calibri" w:eastAsia="宋体" w:cs="Times New Roman"/>
          <w:b/>
          <w:sz w:val="44"/>
          <w:szCs w:val="44"/>
        </w:rPr>
        <w:t>申请书</w:t>
      </w:r>
    </w:p>
    <w:p>
      <w:pPr>
        <w:spacing w:line="360" w:lineRule="auto"/>
        <w:rPr>
          <w:rFonts w:ascii="Calibri" w:hAnsi="Calibri" w:eastAsia="宋体" w:cs="Times New Roman"/>
          <w:sz w:val="10"/>
          <w:szCs w:val="20"/>
        </w:rPr>
      </w:pPr>
    </w:p>
    <w:p>
      <w:pPr>
        <w:snapToGrid w:val="0"/>
        <w:spacing w:line="360" w:lineRule="auto"/>
        <w:ind w:firstLine="1751" w:firstLineChars="545"/>
        <w:rPr>
          <w:rFonts w:ascii="Calibri" w:hAnsi="Calibri" w:eastAsia="宋体" w:cs="Times New Roman"/>
          <w:b/>
          <w:sz w:val="30"/>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名称</w:t>
      </w:r>
      <w:r>
        <w:rPr>
          <w:rFonts w:ascii="Calibri" w:hAnsi="Calibri" w:eastAsia="宋体" w:cs="Times New Roman"/>
          <w:b/>
          <w:sz w:val="30"/>
          <w:szCs w:val="20"/>
        </w:rPr>
        <w:t>：</w:t>
      </w:r>
    </w:p>
    <w:p>
      <w:pPr>
        <w:spacing w:line="360" w:lineRule="auto"/>
        <w:ind w:firstLine="1751" w:firstLineChars="545"/>
        <w:rPr>
          <w:rFonts w:ascii="Calibri" w:hAnsi="Calibri" w:eastAsia="宋体" w:cs="Times New Roman"/>
          <w:b/>
          <w:szCs w:val="20"/>
          <w:u w:val="single"/>
        </w:rPr>
      </w:pPr>
      <w:r>
        <w:rPr>
          <w:rFonts w:hint="eastAsia" w:ascii="Calibri" w:hAnsi="Calibri" w:eastAsia="宋体" w:cs="Times New Roman"/>
          <w:b/>
          <w:sz w:val="32"/>
          <w:szCs w:val="20"/>
        </w:rPr>
        <w:t>标段</w:t>
      </w:r>
      <w:r>
        <w:rPr>
          <w:rFonts w:ascii="Calibri" w:hAnsi="Calibri" w:eastAsia="宋体" w:cs="Times New Roman"/>
          <w:b/>
          <w:sz w:val="32"/>
          <w:szCs w:val="20"/>
        </w:rPr>
        <w:t>编号：</w:t>
      </w:r>
    </w:p>
    <w:p>
      <w:pPr>
        <w:spacing w:line="360" w:lineRule="auto"/>
        <w:rPr>
          <w:rFonts w:ascii="Calibri" w:hAnsi="Calibri" w:eastAsia="宋体" w:cs="Times New Roman"/>
          <w:szCs w:val="20"/>
        </w:rPr>
      </w:pPr>
    </w:p>
    <w:p>
      <w:pPr>
        <w:spacing w:line="360" w:lineRule="auto"/>
        <w:rPr>
          <w:rFonts w:ascii="Calibri" w:hAnsi="Calibri" w:eastAsia="宋体" w:cs="Times New Roman"/>
          <w:b/>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line="360" w:lineRule="auto"/>
        <w:rPr>
          <w:rFonts w:ascii="Calibri" w:hAnsi="Calibri" w:eastAsia="宋体" w:cs="Times New Roman"/>
          <w:b/>
          <w:sz w:val="36"/>
          <w:szCs w:val="20"/>
          <w:u w:val="single"/>
        </w:rPr>
      </w:pPr>
    </w:p>
    <w:p>
      <w:pPr>
        <w:spacing w:line="360" w:lineRule="auto"/>
        <w:rPr>
          <w:rFonts w:ascii="Calibri" w:hAnsi="Calibri" w:eastAsia="宋体" w:cs="Times New Roman"/>
          <w:b/>
          <w:sz w:val="36"/>
          <w:szCs w:val="20"/>
        </w:rPr>
      </w:pPr>
    </w:p>
    <w:p>
      <w:pPr>
        <w:snapToGrid w:val="0"/>
        <w:spacing w:line="360" w:lineRule="auto"/>
        <w:ind w:firstLine="405" w:firstLineChars="168"/>
        <w:rPr>
          <w:rFonts w:ascii="Calibri" w:hAnsi="Calibri" w:eastAsia="宋体" w:cs="Times New Roman"/>
          <w:b/>
          <w:sz w:val="24"/>
          <w:szCs w:val="20"/>
        </w:rPr>
      </w:pP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投标申请人：</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ascii="Times New Roman" w:hAnsi="Times New Roman" w:eastAsia="宋体" w:cs="Times New Roman"/>
          <w:b/>
          <w:sz w:val="28"/>
          <w:szCs w:val="28"/>
        </w:rPr>
        <w:t xml:space="preserve"> 法定代表人</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u w:val="single"/>
        </w:rPr>
      </w:pPr>
      <w:r>
        <w:rPr>
          <w:rFonts w:ascii="Times New Roman" w:hAnsi="Times New Roman" w:eastAsia="宋体" w:cs="Times New Roman"/>
          <w:b/>
          <w:sz w:val="28"/>
          <w:szCs w:val="28"/>
        </w:rPr>
        <w:t>委托代理人：</w:t>
      </w:r>
      <w:r>
        <w:rPr>
          <w:rFonts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ab/>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（签字</w:t>
      </w:r>
      <w:r>
        <w:rPr>
          <w:rFonts w:hint="eastAsia" w:ascii="Times New Roman" w:hAnsi="Times New Roman" w:eastAsia="宋体" w:cs="Times New Roman"/>
          <w:b/>
          <w:sz w:val="28"/>
          <w:szCs w:val="28"/>
          <w:u w:val="single"/>
        </w:rPr>
        <w:t>或</w:t>
      </w:r>
      <w:r>
        <w:rPr>
          <w:rFonts w:ascii="Times New Roman" w:hAnsi="Times New Roman" w:eastAsia="宋体" w:cs="Times New Roman"/>
          <w:b/>
          <w:sz w:val="28"/>
          <w:szCs w:val="28"/>
          <w:u w:val="single"/>
        </w:rPr>
        <w:t>盖章）</w:t>
      </w:r>
    </w:p>
    <w:p>
      <w:pPr>
        <w:spacing w:line="360" w:lineRule="auto"/>
        <w:ind w:firstLine="472" w:firstLineChars="168"/>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地     </w:t>
      </w:r>
      <w:r>
        <w:rPr>
          <w:rFonts w:ascii="Times New Roman" w:hAnsi="Times New Roman" w:eastAsia="宋体" w:cs="Times New Roman"/>
          <w:b/>
          <w:sz w:val="28"/>
          <w:szCs w:val="28"/>
        </w:rPr>
        <w:t>址：</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p>
    <w:p>
      <w:pPr>
        <w:spacing w:line="360" w:lineRule="auto"/>
        <w:rPr>
          <w:rFonts w:ascii="Calibri" w:hAnsi="Calibri" w:eastAsia="宋体" w:cs="Times New Roman"/>
          <w:b/>
          <w:sz w:val="28"/>
          <w:szCs w:val="28"/>
        </w:rPr>
      </w:pPr>
    </w:p>
    <w:p>
      <w:pPr>
        <w:spacing w:line="360" w:lineRule="auto"/>
        <w:ind w:firstLine="2173" w:firstLineChars="773"/>
        <w:rPr>
          <w:rFonts w:ascii="Calibri" w:hAnsi="Calibri" w:eastAsia="宋体" w:cs="Times New Roman"/>
          <w:b/>
          <w:sz w:val="28"/>
          <w:szCs w:val="28"/>
        </w:rPr>
      </w:pPr>
      <w:r>
        <w:rPr>
          <w:rFonts w:ascii="Calibri" w:hAnsi="Calibri" w:eastAsia="宋体" w:cs="Times New Roman"/>
          <w:b/>
          <w:sz w:val="28"/>
          <w:szCs w:val="28"/>
        </w:rPr>
        <w:t>日</w:t>
      </w:r>
      <w:r>
        <w:rPr>
          <w:rFonts w:hint="eastAsia" w:ascii="Calibri" w:hAnsi="Calibri" w:eastAsia="宋体" w:cs="Times New Roman"/>
          <w:b/>
          <w:sz w:val="28"/>
          <w:szCs w:val="28"/>
        </w:rPr>
        <w:t xml:space="preserve">  </w:t>
      </w:r>
      <w:r>
        <w:rPr>
          <w:rFonts w:ascii="Calibri" w:hAnsi="Calibri" w:eastAsia="宋体" w:cs="Times New Roman"/>
          <w:b/>
          <w:sz w:val="28"/>
          <w:szCs w:val="28"/>
        </w:rPr>
        <w:t>期：</w:t>
      </w:r>
      <w:r>
        <w:rPr>
          <w:rFonts w:hint="eastAsia" w:ascii="Calibri" w:hAnsi="Calibri" w:eastAsia="宋体" w:cs="Times New Roman"/>
          <w:b/>
          <w:sz w:val="28"/>
          <w:szCs w:val="28"/>
        </w:rPr>
        <w:t xml:space="preserve">   </w:t>
      </w:r>
      <w:r>
        <w:rPr>
          <w:rFonts w:ascii="Calibri" w:hAnsi="Calibri" w:eastAsia="宋体" w:cs="Times New Roman"/>
          <w:b/>
          <w:sz w:val="28"/>
          <w:szCs w:val="28"/>
        </w:rPr>
        <w:t>年</w:t>
      </w:r>
      <w:r>
        <w:rPr>
          <w:rFonts w:hint="eastAsia" w:ascii="Calibri" w:hAnsi="Calibri" w:eastAsia="宋体" w:cs="Times New Roman"/>
          <w:b/>
          <w:sz w:val="28"/>
          <w:szCs w:val="28"/>
        </w:rPr>
        <w:t xml:space="preserve">  </w:t>
      </w:r>
      <w:r>
        <w:rPr>
          <w:rFonts w:ascii="Calibri" w:hAnsi="Calibri" w:eastAsia="宋体" w:cs="Times New Roman"/>
          <w:b/>
          <w:sz w:val="28"/>
          <w:szCs w:val="28"/>
        </w:rPr>
        <w:t>月</w:t>
      </w:r>
      <w:r>
        <w:rPr>
          <w:rFonts w:hint="eastAsia" w:ascii="Calibri" w:hAnsi="Calibri" w:eastAsia="宋体" w:cs="Times New Roman"/>
          <w:b/>
          <w:sz w:val="28"/>
          <w:szCs w:val="28"/>
        </w:rPr>
        <w:t xml:space="preserve">   </w:t>
      </w:r>
      <w:r>
        <w:rPr>
          <w:rFonts w:ascii="Calibri" w:hAnsi="Calibri" w:eastAsia="宋体" w:cs="Times New Roman"/>
          <w:b/>
          <w:sz w:val="28"/>
          <w:szCs w:val="28"/>
        </w:rPr>
        <w:t>日</w:t>
      </w:r>
    </w:p>
    <w:p>
      <w:pPr>
        <w:tabs>
          <w:tab w:val="left" w:pos="1300"/>
          <w:tab w:val="left" w:pos="1600"/>
        </w:tabs>
        <w:spacing w:line="480" w:lineRule="exact"/>
        <w:ind w:firstLine="703" w:firstLineChars="250"/>
        <w:jc w:val="center"/>
        <w:rPr>
          <w:rFonts w:ascii="Calibri" w:hAnsi="Calibri" w:eastAsia="宋体" w:cs="Times New Roman"/>
          <w:b/>
          <w:kern w:val="0"/>
          <w:sz w:val="28"/>
          <w:szCs w:val="28"/>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p>
    <w:p>
      <w:pPr>
        <w:tabs>
          <w:tab w:val="left" w:pos="1300"/>
          <w:tab w:val="left" w:pos="1600"/>
        </w:tabs>
        <w:spacing w:line="480" w:lineRule="exact"/>
        <w:jc w:val="center"/>
        <w:rPr>
          <w:rFonts w:ascii="Calibri" w:hAnsi="Calibri" w:eastAsia="宋体" w:cs="Times New Roman"/>
          <w:b/>
          <w:kern w:val="0"/>
          <w:sz w:val="44"/>
          <w:szCs w:val="44"/>
        </w:rPr>
      </w:pPr>
      <w:r>
        <w:rPr>
          <w:rFonts w:hint="eastAsia" w:ascii="Calibri" w:hAnsi="Calibri" w:eastAsia="宋体" w:cs="Times New Roman"/>
          <w:b/>
          <w:kern w:val="0"/>
          <w:sz w:val="44"/>
          <w:szCs w:val="44"/>
        </w:rPr>
        <w:t>目  录</w:t>
      </w:r>
    </w:p>
    <w:p>
      <w:pPr>
        <w:tabs>
          <w:tab w:val="left" w:pos="1300"/>
          <w:tab w:val="left" w:pos="1600"/>
        </w:tabs>
        <w:spacing w:line="480" w:lineRule="exact"/>
        <w:ind w:firstLine="1104" w:firstLineChars="250"/>
        <w:jc w:val="center"/>
        <w:rPr>
          <w:rFonts w:ascii="Calibri" w:hAnsi="Calibri" w:eastAsia="宋体" w:cs="Times New Roman"/>
          <w:b/>
          <w:kern w:val="0"/>
          <w:sz w:val="44"/>
          <w:szCs w:val="44"/>
        </w:rPr>
      </w:pP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（1）法定代表人身份证明或附有法定代表人身份证明的授权委托书；</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（2）</w:t>
      </w:r>
      <w:r>
        <w:rPr>
          <w:rFonts w:ascii="Calibri" w:hAnsi="Calibri" w:eastAsia="宋体" w:cs="Times New Roman"/>
          <w:kern w:val="0"/>
          <w:szCs w:val="21"/>
        </w:rPr>
        <w:t>申请资格审查人简介</w:t>
      </w:r>
      <w:r>
        <w:rPr>
          <w:rFonts w:hint="eastAsia" w:ascii="Calibri" w:hAnsi="Calibri" w:eastAsia="宋体" w:cs="Times New Roman"/>
          <w:kern w:val="0"/>
          <w:szCs w:val="21"/>
        </w:rPr>
        <w:t>；</w:t>
      </w:r>
    </w:p>
    <w:p>
      <w:pPr>
        <w:tabs>
          <w:tab w:val="left" w:pos="1300"/>
          <w:tab w:val="left" w:pos="1600"/>
        </w:tabs>
        <w:spacing w:line="380" w:lineRule="exact"/>
        <w:ind w:firstLine="420" w:firstLineChars="200"/>
        <w:rPr>
          <w:rFonts w:ascii="Calibri" w:hAnsi="Calibri" w:eastAsia="宋体" w:cs="Times New Roman"/>
          <w:kern w:val="0"/>
          <w:szCs w:val="21"/>
        </w:rPr>
      </w:pPr>
      <w:r>
        <w:rPr>
          <w:rFonts w:hint="eastAsia" w:ascii="Calibri" w:hAnsi="Calibri" w:eastAsia="宋体" w:cs="Times New Roman"/>
          <w:kern w:val="0"/>
          <w:szCs w:val="21"/>
        </w:rPr>
        <w:t>（3）投标人企业营业执照；</w:t>
      </w:r>
    </w:p>
    <w:p>
      <w:pPr>
        <w:tabs>
          <w:tab w:val="left" w:pos="1300"/>
          <w:tab w:val="left" w:pos="1600"/>
        </w:tabs>
        <w:spacing w:line="380" w:lineRule="exact"/>
        <w:ind w:firstLine="420" w:firstLineChars="200"/>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（4）</w:t>
      </w:r>
      <w:r>
        <w:rPr>
          <w:rFonts w:hint="eastAsia" w:ascii="Times New Roman" w:hAnsi="Times New Roman" w:eastAsia="宋体" w:cs="Times New Roman"/>
          <w:szCs w:val="21"/>
        </w:rPr>
        <w:t>投标人为授权委托人缴纳</w:t>
      </w:r>
      <w:r>
        <w:rPr>
          <w:rFonts w:hint="eastAsia" w:ascii="宋体" w:hAnsi="宋体" w:eastAsia="宋体" w:cs="宋体"/>
          <w:color w:val="0000FF"/>
          <w:szCs w:val="21"/>
          <w:highlight w:val="white"/>
        </w:rPr>
        <w:t>（2025年2月-2025年4月）</w:t>
      </w:r>
      <w:r>
        <w:rPr>
          <w:rFonts w:hint="eastAsia" w:ascii="宋体" w:hAnsi="宋体" w:eastAsia="宋体" w:cs="宋体"/>
          <w:color w:val="000000"/>
          <w:szCs w:val="21"/>
        </w:rPr>
        <w:t>任意一个月</w:t>
      </w:r>
      <w:r>
        <w:rPr>
          <w:rFonts w:hint="eastAsia" w:ascii="Times New Roman" w:hAnsi="Times New Roman" w:eastAsia="宋体" w:cs="Times New Roman"/>
          <w:color w:val="000000"/>
          <w:szCs w:val="21"/>
        </w:rPr>
        <w:t>在职职工养老保险的证明材料；采用网上自助查询方式的，如当地社保管理部门明确的最大查询期与招标文件规定的月份不一致时，须提供社保管理部门的文件）</w:t>
      </w:r>
      <w:r>
        <w:rPr>
          <w:rFonts w:hint="eastAsia" w:ascii="Calibri" w:hAnsi="Calibri" w:eastAsia="宋体" w:cs="Calibri"/>
          <w:kern w:val="0"/>
          <w:szCs w:val="21"/>
          <w:shd w:val="clear" w:color="auto" w:fill="FFFFFF"/>
        </w:rPr>
        <w:t>;</w:t>
      </w:r>
    </w:p>
    <w:p>
      <w:pPr>
        <w:shd w:val="solid" w:color="FFFFFF" w:fill="auto"/>
        <w:spacing w:line="380" w:lineRule="exact"/>
        <w:ind w:firstLine="420" w:firstLineChars="200"/>
        <w:jc w:val="left"/>
        <w:rPr>
          <w:rFonts w:ascii="Calibri" w:hAnsi="Calibri" w:eastAsia="宋体" w:cs="Calibri"/>
          <w:kern w:val="0"/>
          <w:szCs w:val="21"/>
          <w:shd w:val="clear" w:color="auto" w:fill="FFFFFF"/>
        </w:rPr>
      </w:pPr>
      <w:r>
        <w:rPr>
          <w:rFonts w:hint="eastAsia" w:ascii="Calibri" w:hAnsi="Calibri" w:eastAsia="宋体" w:cs="Calibri"/>
          <w:kern w:val="0"/>
          <w:szCs w:val="21"/>
          <w:shd w:val="clear" w:color="auto" w:fill="FFFFFF"/>
        </w:rPr>
        <w:t>（5）</w:t>
      </w:r>
      <w:r>
        <w:rPr>
          <w:rFonts w:hint="eastAsia" w:ascii="宋体" w:hAnsi="宋体" w:eastAsia="宋体" w:cs="宋体"/>
          <w:szCs w:val="21"/>
        </w:rPr>
        <w:t>具备履行合同所必需的设备和专业技术能力的书面声明；</w:t>
      </w:r>
    </w:p>
    <w:p>
      <w:pPr>
        <w:tabs>
          <w:tab w:val="left" w:pos="1300"/>
          <w:tab w:val="left" w:pos="1600"/>
        </w:tabs>
        <w:spacing w:line="380" w:lineRule="exact"/>
        <w:ind w:firstLine="420" w:firstLineChars="200"/>
        <w:rPr>
          <w:rFonts w:ascii="宋体" w:hAnsi="宋体" w:eastAsia="宋体" w:cs="宋体"/>
          <w:szCs w:val="21"/>
        </w:rPr>
      </w:pPr>
      <w:r>
        <w:rPr>
          <w:rFonts w:hint="eastAsia" w:ascii="Calibri" w:hAnsi="Calibri" w:eastAsia="宋体" w:cs="Times New Roman"/>
          <w:kern w:val="0"/>
          <w:szCs w:val="21"/>
        </w:rPr>
        <w:t>（6）</w:t>
      </w:r>
      <w:r>
        <w:rPr>
          <w:rFonts w:hint="eastAsia" w:ascii="宋体" w:hAnsi="宋体" w:eastAsia="宋体" w:cs="宋体"/>
          <w:szCs w:val="21"/>
        </w:rPr>
        <w:t>投标人2025年2月至2025年4月内任意一份依法纳税的缴款凭证（投标人依法享受缓缴、免缴的提供证明材料）；</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（7）税务、银行或社会保险基金管理部门出具的2025年2月至2025年4月内任意一个月缴纳职工社会保障资金的缴款凭证或缴款证明（投标人依法享受缓缴、免缴的提供证明材料）；</w:t>
      </w:r>
    </w:p>
    <w:p>
      <w:pPr>
        <w:spacing w:after="120"/>
        <w:ind w:firstLine="420" w:firstLineChars="200"/>
        <w:rPr>
          <w:rFonts w:ascii="宋体" w:hAnsi="宋体" w:eastAsia="宋体" w:cs="宋体"/>
          <w:szCs w:val="21"/>
        </w:rPr>
      </w:pPr>
      <w:r>
        <w:rPr>
          <w:rFonts w:hint="eastAsia" w:ascii="Times New Roman" w:hAnsi="Times New Roman" w:eastAsia="宋体" w:cs="Times New Roman"/>
          <w:szCs w:val="20"/>
        </w:rPr>
        <w:t>（8）</w:t>
      </w:r>
      <w:r>
        <w:rPr>
          <w:rFonts w:hint="eastAsia" w:ascii="宋体" w:hAnsi="宋体" w:eastAsia="宋体" w:cs="宋体"/>
          <w:szCs w:val="21"/>
        </w:rPr>
        <w:t>2024年度的财务报告情况（成立不满一年不需提供）；</w:t>
      </w:r>
    </w:p>
    <w:p>
      <w:pPr>
        <w:spacing w:after="120"/>
        <w:ind w:firstLine="420" w:firstLineChars="200"/>
        <w:rPr>
          <w:rFonts w:ascii="Times New Roman" w:hAnsi="Times New Roman" w:eastAsia="宋体" w:cs="Times New Roman"/>
          <w:szCs w:val="20"/>
        </w:rPr>
      </w:pPr>
      <w:r>
        <w:rPr>
          <w:rFonts w:hint="eastAsia" w:ascii="宋体" w:hAnsi="宋体" w:eastAsia="宋体" w:cs="宋体"/>
          <w:szCs w:val="21"/>
        </w:rPr>
        <w:t>（9）</w:t>
      </w:r>
      <w:r>
        <w:rPr>
          <w:rFonts w:hint="eastAsia" w:ascii="宋体" w:hAnsi="Times New Roman" w:eastAsia="宋体" w:cs="宋体"/>
          <w:b/>
          <w:szCs w:val="21"/>
        </w:rPr>
        <w:t>提供 DE30、DDL220、DIB20 焊接钢管的有效期内合格的检验(检测)报告；</w:t>
      </w:r>
    </w:p>
    <w:p>
      <w:pPr>
        <w:tabs>
          <w:tab w:val="left" w:pos="1300"/>
          <w:tab w:val="left" w:pos="1600"/>
        </w:tabs>
        <w:spacing w:line="380" w:lineRule="exact"/>
        <w:ind w:firstLine="420" w:firstLineChars="200"/>
        <w:rPr>
          <w:rFonts w:ascii="宋体" w:hAnsi="宋体" w:eastAsia="宋体" w:cs="宋体"/>
          <w:szCs w:val="21"/>
        </w:rPr>
      </w:pPr>
      <w:r>
        <w:rPr>
          <w:rFonts w:hint="eastAsia" w:ascii="宋体" w:hAnsi="宋体" w:eastAsia="宋体" w:cs="宋体"/>
          <w:szCs w:val="21"/>
        </w:rPr>
        <w:t>（10）业绩</w:t>
      </w:r>
      <w:r>
        <w:rPr>
          <w:rFonts w:ascii="宋体" w:hAnsi="宋体" w:eastAsia="宋体" w:cs="宋体"/>
          <w:szCs w:val="21"/>
        </w:rPr>
        <w:t>证明材料（提供合同原件、发票原件、国家税务总局全国增值税发票查验平台查验截图）；</w:t>
      </w:r>
    </w:p>
    <w:p>
      <w:pPr>
        <w:spacing w:after="120"/>
        <w:ind w:firstLine="420" w:firstLineChars="200"/>
        <w:rPr>
          <w:rFonts w:ascii="Times New Roman" w:hAnsi="宋体" w:eastAsia="宋体" w:cs="宋体"/>
          <w:color w:val="000000"/>
          <w:szCs w:val="21"/>
        </w:rPr>
      </w:pPr>
      <w:r>
        <w:rPr>
          <w:rFonts w:hint="eastAsia" w:ascii="Times New Roman" w:hAnsi="Times New Roman" w:eastAsia="宋体" w:cs="Times New Roman"/>
          <w:szCs w:val="20"/>
        </w:rPr>
        <w:t>（11）</w:t>
      </w:r>
      <w:r>
        <w:rPr>
          <w:rFonts w:hint="eastAsia" w:ascii="宋体" w:hAnsi="宋体" w:eastAsia="宋体" w:cs="宋体"/>
          <w:szCs w:val="21"/>
        </w:rPr>
        <w:t>真实性承诺书；</w:t>
      </w:r>
    </w:p>
    <w:p>
      <w:pPr>
        <w:spacing w:line="360" w:lineRule="auto"/>
        <w:ind w:firstLine="420" w:firstLineChars="200"/>
        <w:rPr>
          <w:rFonts w:ascii="宋体" w:hAnsi="Times New Roman" w:eastAsia="宋体" w:cs="Times New Roman"/>
          <w:color w:val="000000"/>
          <w:szCs w:val="20"/>
        </w:rPr>
      </w:pPr>
      <w:r>
        <w:rPr>
          <w:rFonts w:hint="eastAsia" w:ascii="Times New Roman" w:hAnsi="宋体" w:eastAsia="宋体" w:cs="宋体"/>
          <w:color w:val="000000"/>
          <w:szCs w:val="21"/>
        </w:rPr>
        <w:t>（12）</w:t>
      </w:r>
      <w:r>
        <w:rPr>
          <w:rFonts w:hint="eastAsia" w:ascii="Calibri" w:hAnsi="Calibri" w:eastAsia="宋体" w:cs="Times New Roman"/>
          <w:szCs w:val="21"/>
        </w:rPr>
        <w:t>投标人认为其他需要提供的材料</w:t>
      </w:r>
    </w:p>
    <w:p>
      <w:pPr>
        <w:spacing w:line="360" w:lineRule="auto"/>
        <w:ind w:firstLine="420" w:firstLineChars="200"/>
        <w:rPr>
          <w:rFonts w:ascii="宋体" w:hAnsi="Times New Roman" w:eastAsia="宋体" w:cs="Times New Roman"/>
          <w:color w:val="000000"/>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1、</w:t>
      </w:r>
      <w:r>
        <w:rPr>
          <w:rFonts w:ascii="Calibri" w:hAnsi="Calibri" w:eastAsia="宋体" w:cs="Times New Roman"/>
          <w:b/>
          <w:sz w:val="32"/>
          <w:szCs w:val="32"/>
        </w:rPr>
        <w:t>法</w:t>
      </w:r>
      <w:r>
        <w:rPr>
          <w:rFonts w:hint="eastAsia" w:ascii="Calibri" w:hAnsi="Calibri" w:eastAsia="宋体" w:cs="Times New Roman"/>
          <w:b/>
          <w:sz w:val="32"/>
          <w:szCs w:val="32"/>
        </w:rPr>
        <w:t>定代表</w:t>
      </w:r>
      <w:r>
        <w:rPr>
          <w:rFonts w:ascii="Calibri" w:hAnsi="Calibri" w:eastAsia="宋体" w:cs="Times New Roman"/>
          <w:b/>
          <w:sz w:val="32"/>
          <w:szCs w:val="32"/>
        </w:rPr>
        <w:t>人授权委托书</w:t>
      </w:r>
    </w:p>
    <w:p>
      <w:pPr>
        <w:spacing w:line="360" w:lineRule="auto"/>
        <w:jc w:val="center"/>
        <w:rPr>
          <w:rFonts w:ascii="Calibri" w:hAnsi="Calibri" w:eastAsia="宋体" w:cs="Times New Roman"/>
          <w:b/>
          <w:sz w:val="36"/>
          <w:szCs w:val="20"/>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本人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（投标人名称）的法定代表人，现委托</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（姓名）为我方代理人。代理人根据授权，以我方名义签署、澄清、说明、补正、递交、撤回、修改</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（项目名称及标段）</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投标文件、签订合同和处理有关事宜，其法律后果由我方承担。</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委托期限：</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代理人无转委托权。</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附：委托代理人身份证原件扫描件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法定代表人：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委托代理人：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（签字）</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u w:val="single"/>
        </w:rPr>
      </w:pPr>
      <w:r>
        <w:rPr>
          <w:rFonts w:hint="eastAsia" w:ascii="Calibri" w:hAnsi="Calibri" w:eastAsia="宋体" w:cs="Calibri"/>
          <w:kern w:val="0"/>
          <w:sz w:val="24"/>
          <w:szCs w:val="24"/>
        </w:rPr>
        <w:t>身份证号码：</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3720" w:firstLineChars="1550"/>
        <w:jc w:val="left"/>
        <w:rPr>
          <w:rFonts w:ascii="Calibri" w:hAnsi="Calibri" w:eastAsia="宋体" w:cs="Calibri"/>
          <w:kern w:val="0"/>
          <w:sz w:val="24"/>
          <w:szCs w:val="24"/>
          <w:u w:val="single"/>
        </w:rPr>
      </w:pPr>
    </w:p>
    <w:p>
      <w:pPr>
        <w:autoSpaceDE w:val="0"/>
        <w:autoSpaceDN w:val="0"/>
        <w:adjustRightInd w:val="0"/>
        <w:spacing w:line="360" w:lineRule="auto"/>
        <w:ind w:firstLine="3720" w:firstLineChars="1550"/>
        <w:jc w:val="left"/>
        <w:rPr>
          <w:rFonts w:ascii="Calibri" w:hAnsi="Calibri" w:eastAsia="宋体" w:cs="Calibri"/>
          <w:kern w:val="0"/>
          <w:sz w:val="24"/>
          <w:szCs w:val="24"/>
        </w:rPr>
      </w:pP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sz w:val="32"/>
          <w:szCs w:val="32"/>
        </w:rPr>
      </w:pPr>
      <w:r>
        <w:rPr>
          <w:rFonts w:hint="eastAsia" w:ascii="Calibri" w:hAnsi="Calibri" w:eastAsia="宋体" w:cs="Times New Roman"/>
          <w:b/>
          <w:sz w:val="32"/>
          <w:szCs w:val="32"/>
        </w:rPr>
        <w:t>法定代表人身份证明</w:t>
      </w:r>
    </w:p>
    <w:p>
      <w:pPr>
        <w:autoSpaceDE w:val="0"/>
        <w:autoSpaceDN w:val="0"/>
        <w:adjustRightInd w:val="0"/>
        <w:spacing w:line="360" w:lineRule="auto"/>
        <w:ind w:firstLine="420" w:firstLineChars="200"/>
        <w:jc w:val="left"/>
        <w:rPr>
          <w:rFonts w:ascii="Calibri" w:hAnsi="Calibri" w:eastAsia="宋体" w:cs="Calibri"/>
          <w:kern w:val="0"/>
          <w:szCs w:val="21"/>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投 标 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单位性质：</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地    址：</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成立时间：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经营期限：</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姓    名：</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性        别：</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年    龄：</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 xml:space="preserve">    职        务：</w:t>
      </w:r>
      <w:r>
        <w:rPr>
          <w:rFonts w:hint="eastAsia" w:ascii="Calibri" w:hAnsi="Calibri" w:eastAsia="宋体" w:cs="Calibri"/>
          <w:kern w:val="0"/>
          <w:sz w:val="24"/>
          <w:szCs w:val="24"/>
          <w:u w:val="single"/>
        </w:rPr>
        <w:t xml:space="preserve">                </w:t>
      </w: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系</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（投标人名称）的法定代表人。</w:t>
      </w:r>
    </w:p>
    <w:p>
      <w:pPr>
        <w:autoSpaceDE w:val="0"/>
        <w:autoSpaceDN w:val="0"/>
        <w:adjustRightInd w:val="0"/>
        <w:spacing w:line="360" w:lineRule="auto"/>
        <w:ind w:firstLine="960" w:firstLineChars="400"/>
        <w:jc w:val="left"/>
        <w:rPr>
          <w:rFonts w:ascii="Calibri" w:hAnsi="Calibri" w:eastAsia="宋体" w:cs="Calibri"/>
          <w:kern w:val="0"/>
          <w:sz w:val="24"/>
          <w:szCs w:val="24"/>
        </w:rPr>
      </w:pPr>
      <w:r>
        <w:rPr>
          <w:rFonts w:hint="eastAsia" w:ascii="Calibri" w:hAnsi="Calibri" w:eastAsia="宋体" w:cs="Calibri"/>
          <w:kern w:val="0"/>
          <w:sz w:val="24"/>
          <w:szCs w:val="24"/>
        </w:rPr>
        <w:t>特此证明。</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r>
        <w:rPr>
          <w:rFonts w:hint="eastAsia" w:ascii="Calibri" w:hAnsi="Calibri" w:eastAsia="宋体" w:cs="Calibri"/>
          <w:kern w:val="0"/>
          <w:sz w:val="24"/>
          <w:szCs w:val="24"/>
        </w:rPr>
        <w:t>附：法定代表人身份证原件扫描件。</w:t>
      </w: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80" w:firstLineChars="200"/>
        <w:jc w:val="left"/>
        <w:rPr>
          <w:rFonts w:ascii="Calibri" w:hAnsi="Calibri" w:eastAsia="宋体" w:cs="Calibri"/>
          <w:kern w:val="0"/>
          <w:sz w:val="24"/>
          <w:szCs w:val="24"/>
        </w:rPr>
      </w:pPr>
    </w:p>
    <w:p>
      <w:pPr>
        <w:autoSpaceDE w:val="0"/>
        <w:autoSpaceDN w:val="0"/>
        <w:adjustRightInd w:val="0"/>
        <w:spacing w:line="360" w:lineRule="auto"/>
        <w:ind w:firstLine="4320" w:firstLineChars="1800"/>
        <w:jc w:val="left"/>
        <w:rPr>
          <w:rFonts w:ascii="Calibri" w:hAnsi="Calibri" w:eastAsia="宋体" w:cs="Calibri"/>
          <w:kern w:val="0"/>
          <w:sz w:val="24"/>
          <w:szCs w:val="24"/>
        </w:rPr>
      </w:pPr>
      <w:r>
        <w:rPr>
          <w:rFonts w:hint="eastAsia" w:ascii="Calibri" w:hAnsi="Calibri" w:eastAsia="宋体" w:cs="Calibri"/>
          <w:kern w:val="0"/>
          <w:sz w:val="24"/>
          <w:szCs w:val="24"/>
        </w:rPr>
        <w:t>投标人：</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（盖单位章）</w:t>
      </w:r>
    </w:p>
    <w:p>
      <w:pPr>
        <w:autoSpaceDE w:val="0"/>
        <w:autoSpaceDN w:val="0"/>
        <w:adjustRightInd w:val="0"/>
        <w:spacing w:line="360" w:lineRule="auto"/>
        <w:ind w:firstLine="2280" w:firstLineChars="950"/>
        <w:jc w:val="left"/>
        <w:rPr>
          <w:rFonts w:ascii="Calibri" w:hAnsi="Calibri" w:eastAsia="宋体" w:cs="Calibri"/>
          <w:kern w:val="0"/>
          <w:sz w:val="24"/>
          <w:szCs w:val="24"/>
        </w:rPr>
      </w:pPr>
    </w:p>
    <w:p>
      <w:pPr>
        <w:autoSpaceDE w:val="0"/>
        <w:autoSpaceDN w:val="0"/>
        <w:adjustRightInd w:val="0"/>
        <w:spacing w:line="500" w:lineRule="exact"/>
        <w:ind w:firstLine="480"/>
        <w:jc w:val="center"/>
        <w:rPr>
          <w:rFonts w:ascii="Calibri" w:hAnsi="Calibri" w:eastAsia="宋体" w:cs="Times New Roman"/>
          <w:b/>
          <w:bCs/>
          <w:sz w:val="24"/>
          <w:szCs w:val="24"/>
        </w:rPr>
      </w:pPr>
      <w:r>
        <w:rPr>
          <w:rFonts w:hint="eastAsia" w:ascii="Calibri" w:hAnsi="Calibri" w:eastAsia="宋体" w:cs="Calibri"/>
          <w:kern w:val="0"/>
          <w:sz w:val="24"/>
          <w:szCs w:val="24"/>
        </w:rPr>
        <w:t xml:space="preserve">                         </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年</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月</w:t>
      </w:r>
      <w:r>
        <w:rPr>
          <w:rFonts w:hint="eastAsia" w:ascii="Calibri" w:hAnsi="Calibri" w:eastAsia="宋体" w:cs="Calibri"/>
          <w:kern w:val="0"/>
          <w:sz w:val="24"/>
          <w:szCs w:val="24"/>
          <w:u w:val="single"/>
        </w:rPr>
        <w:t xml:space="preserve">        </w:t>
      </w:r>
      <w:r>
        <w:rPr>
          <w:rFonts w:hint="eastAsia" w:ascii="Calibri" w:hAnsi="Calibri" w:eastAsia="宋体" w:cs="Calibri"/>
          <w:kern w:val="0"/>
          <w:sz w:val="24"/>
          <w:szCs w:val="24"/>
        </w:rPr>
        <w:t>日</w:t>
      </w: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ind w:firstLine="480"/>
        <w:jc w:val="center"/>
        <w:rPr>
          <w:rFonts w:ascii="Calibri" w:hAnsi="Calibri" w:eastAsia="宋体" w:cs="Times New Roman"/>
          <w:b/>
          <w:bCs/>
          <w:sz w:val="36"/>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autoSpaceDE w:val="0"/>
        <w:autoSpaceDN w:val="0"/>
        <w:adjustRightInd w:val="0"/>
        <w:spacing w:line="500" w:lineRule="exact"/>
        <w:rPr>
          <w:rFonts w:ascii="Calibri" w:hAnsi="Calibri" w:eastAsia="宋体" w:cs="Times New Roman"/>
          <w:b/>
          <w:bCs/>
          <w:sz w:val="36"/>
          <w:szCs w:val="20"/>
        </w:rPr>
      </w:pPr>
    </w:p>
    <w:p>
      <w:pPr>
        <w:spacing w:line="50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2、申请资格审查人简介</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31"/>
        <w:gridCol w:w="2193"/>
        <w:gridCol w:w="1728"/>
        <w:gridCol w:w="3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单位名称</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地址</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单位性质</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法定代表人</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8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联系人</w:t>
            </w:r>
          </w:p>
        </w:tc>
        <w:tc>
          <w:tcPr>
            <w:tcW w:w="21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联 系 电 话</w:t>
            </w:r>
          </w:p>
        </w:tc>
        <w:tc>
          <w:tcPr>
            <w:tcW w:w="30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6" w:hRule="atLeas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申</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请</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格</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审</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查</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织</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机</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构</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和</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企</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业</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概</w:t>
            </w:r>
          </w:p>
          <w:p>
            <w:pPr>
              <w:autoSpaceDE w:val="0"/>
              <w:autoSpaceDN w:val="0"/>
              <w:spacing w:line="500" w:lineRule="exact"/>
              <w:jc w:val="center"/>
              <w:rPr>
                <w:rFonts w:ascii="Calibri" w:hAnsi="Calibri" w:eastAsia="宋体" w:cs="Times New Roman"/>
                <w:sz w:val="24"/>
                <w:szCs w:val="20"/>
              </w:rPr>
            </w:pPr>
            <w:r>
              <w:rPr>
                <w:rFonts w:hint="eastAsia" w:ascii="Calibri" w:hAnsi="Calibri" w:eastAsia="宋体" w:cs="Times New Roman"/>
                <w:sz w:val="24"/>
                <w:szCs w:val="20"/>
              </w:rPr>
              <w:t>况</w:t>
            </w:r>
          </w:p>
        </w:tc>
        <w:tc>
          <w:tcPr>
            <w:tcW w:w="8649"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p>
            <w:pPr>
              <w:autoSpaceDE w:val="0"/>
              <w:autoSpaceDN w:val="0"/>
              <w:spacing w:line="500" w:lineRule="exact"/>
              <w:jc w:val="center"/>
              <w:rPr>
                <w:rFonts w:ascii="Calibri" w:hAnsi="Calibri" w:eastAsia="宋体" w:cs="Times New Roman"/>
                <w:sz w:val="24"/>
                <w:szCs w:val="20"/>
              </w:rPr>
            </w:pPr>
          </w:p>
        </w:tc>
      </w:tr>
    </w:tbl>
    <w:p>
      <w:pPr>
        <w:spacing w:after="120"/>
        <w:rPr>
          <w:rFonts w:ascii="Times New Roman" w:hAnsi="Times New Roman" w:eastAsia="宋体" w:cs="Times New Roman"/>
          <w:szCs w:val="20"/>
        </w:rPr>
      </w:pPr>
    </w:p>
    <w:p>
      <w:pPr>
        <w:autoSpaceDE w:val="0"/>
        <w:autoSpaceDN w:val="0"/>
        <w:adjustRightInd w:val="0"/>
        <w:spacing w:line="500" w:lineRule="exact"/>
        <w:ind w:firstLine="480"/>
        <w:jc w:val="center"/>
        <w:rPr>
          <w:rFonts w:ascii="Calibri" w:hAnsi="Calibri" w:eastAsia="宋体" w:cs="Times New Roman"/>
          <w:b/>
          <w:bCs/>
          <w:sz w:val="32"/>
          <w:szCs w:val="32"/>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widowControl/>
        <w:spacing w:line="360" w:lineRule="auto"/>
        <w:jc w:val="center"/>
        <w:rPr>
          <w:rFonts w:ascii="Calibri" w:hAnsi="Calibri" w:eastAsia="宋体" w:cs="Times New Roman"/>
          <w:b/>
          <w:bCs/>
          <w:sz w:val="32"/>
          <w:szCs w:val="32"/>
        </w:rPr>
      </w:pPr>
    </w:p>
    <w:p>
      <w:pPr>
        <w:widowControl/>
        <w:spacing w:line="360" w:lineRule="auto"/>
        <w:jc w:val="center"/>
        <w:rPr>
          <w:rFonts w:ascii="Calibri" w:hAnsi="Calibri" w:eastAsia="宋体" w:cs="Times New Roman"/>
          <w:b/>
          <w:sz w:val="32"/>
          <w:szCs w:val="32"/>
        </w:rPr>
      </w:pPr>
      <w:r>
        <w:rPr>
          <w:rFonts w:hint="eastAsia" w:ascii="Calibri" w:hAnsi="Calibri" w:eastAsia="宋体" w:cs="Times New Roman"/>
          <w:b/>
          <w:bCs/>
          <w:sz w:val="32"/>
          <w:szCs w:val="32"/>
        </w:rPr>
        <w:t>3、真实性承</w:t>
      </w:r>
      <w:r>
        <w:rPr>
          <w:rFonts w:hint="eastAsia" w:ascii="Calibri" w:hAnsi="Calibri" w:eastAsia="宋体" w:cs="Times New Roman"/>
          <w:b/>
          <w:sz w:val="32"/>
          <w:szCs w:val="32"/>
        </w:rPr>
        <w:t>诺书</w:t>
      </w:r>
    </w:p>
    <w:p>
      <w:pPr>
        <w:spacing w:line="360" w:lineRule="auto"/>
        <w:rPr>
          <w:rFonts w:ascii="Calibri" w:hAnsi="Calibri" w:eastAsia="宋体" w:cs="Times New Roman"/>
          <w:szCs w:val="20"/>
        </w:rPr>
      </w:pPr>
    </w:p>
    <w:p>
      <w:pPr>
        <w:spacing w:line="360" w:lineRule="auto"/>
        <w:rPr>
          <w:rFonts w:ascii="Calibri" w:hAnsi="Calibri" w:eastAsia="宋体" w:cs="Times New Roman"/>
          <w:sz w:val="24"/>
          <w:szCs w:val="20"/>
        </w:rPr>
      </w:pPr>
      <w:r>
        <w:rPr>
          <w:rFonts w:hint="eastAsia" w:ascii="Calibri" w:hAnsi="Calibri" w:eastAsia="宋体" w:cs="Times New Roman"/>
          <w:sz w:val="24"/>
          <w:szCs w:val="20"/>
        </w:rPr>
        <w:t>致：</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（招标人名称）</w:t>
      </w:r>
    </w:p>
    <w:p>
      <w:pPr>
        <w:spacing w:line="360" w:lineRule="auto"/>
        <w:ind w:firstLine="480"/>
        <w:rPr>
          <w:rFonts w:ascii="Calibri" w:hAnsi="Calibri" w:eastAsia="宋体" w:cs="Times New Roman"/>
          <w:sz w:val="24"/>
          <w:szCs w:val="20"/>
        </w:rPr>
      </w:pPr>
      <w:r>
        <w:rPr>
          <w:rFonts w:hint="eastAsia" w:ascii="Calibri" w:hAnsi="Calibri" w:eastAsia="宋体" w:cs="Times New Roman"/>
          <w:sz w:val="24"/>
          <w:szCs w:val="20"/>
        </w:rPr>
        <w:t>我公司自愿参加贵单位（公司）</w:t>
      </w:r>
      <w:r>
        <w:rPr>
          <w:rFonts w:hint="eastAsia" w:ascii="Calibri" w:hAnsi="Calibri" w:eastAsia="宋体" w:cs="Times New Roman"/>
          <w:sz w:val="24"/>
          <w:szCs w:val="20"/>
          <w:u w:val="single"/>
        </w:rPr>
        <w:t xml:space="preserve">             </w:t>
      </w:r>
      <w:r>
        <w:rPr>
          <w:rFonts w:hint="eastAsia" w:ascii="Calibri" w:hAnsi="Calibri" w:eastAsia="宋体" w:cs="Times New Roman"/>
          <w:sz w:val="24"/>
          <w:szCs w:val="20"/>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ascii="Calibri" w:hAnsi="Calibri" w:eastAsia="宋体" w:cs="Times New Roman"/>
          <w:sz w:val="24"/>
          <w:szCs w:val="20"/>
        </w:rPr>
      </w:pP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投标人：（盖单位章）</w:t>
      </w:r>
    </w:p>
    <w:p>
      <w:pPr>
        <w:spacing w:line="360" w:lineRule="auto"/>
        <w:rPr>
          <w:rFonts w:ascii="Calibri" w:hAnsi="Calibri" w:eastAsia="宋体" w:cs="Times New Roman"/>
          <w:sz w:val="24"/>
          <w:szCs w:val="20"/>
        </w:rPr>
      </w:pPr>
    </w:p>
    <w:p>
      <w:pPr>
        <w:spacing w:line="360" w:lineRule="auto"/>
        <w:ind w:firstLine="5160" w:firstLineChars="2150"/>
        <w:rPr>
          <w:rFonts w:ascii="Calibri" w:hAnsi="Calibri" w:eastAsia="宋体" w:cs="Times New Roman"/>
          <w:kern w:val="0"/>
          <w:sz w:val="24"/>
          <w:szCs w:val="20"/>
        </w:rPr>
      </w:pPr>
      <w:r>
        <w:rPr>
          <w:rFonts w:hint="eastAsia" w:ascii="Calibri" w:hAnsi="Calibri" w:eastAsia="宋体" w:cs="Times New Roman"/>
          <w:kern w:val="0"/>
          <w:sz w:val="24"/>
          <w:szCs w:val="20"/>
        </w:rPr>
        <w:t>法定代表人</w:t>
      </w:r>
      <w:r>
        <w:rPr>
          <w:rFonts w:hint="eastAsia" w:ascii="Times New Roman" w:hAnsi="Times New Roman" w:eastAsia="宋体" w:cs="Calibri"/>
          <w:sz w:val="24"/>
          <w:szCs w:val="20"/>
        </w:rPr>
        <w:t>（签字或盖章）</w:t>
      </w:r>
      <w:r>
        <w:rPr>
          <w:rFonts w:hint="eastAsia" w:ascii="Calibri" w:hAnsi="Calibri" w:eastAsia="宋体" w:cs="Times New Roman"/>
          <w:kern w:val="0"/>
          <w:sz w:val="24"/>
          <w:szCs w:val="20"/>
        </w:rPr>
        <w:t>：</w:t>
      </w:r>
    </w:p>
    <w:p>
      <w:pPr>
        <w:spacing w:line="360" w:lineRule="auto"/>
        <w:rPr>
          <w:rFonts w:ascii="Calibri" w:hAnsi="Calibri" w:eastAsia="宋体" w:cs="Times New Roman"/>
          <w:kern w:val="0"/>
          <w:sz w:val="24"/>
          <w:szCs w:val="20"/>
        </w:rPr>
      </w:pPr>
      <w:r>
        <w:rPr>
          <w:rFonts w:hint="eastAsia" w:ascii="Calibri" w:hAnsi="Calibri" w:eastAsia="宋体" w:cs="Times New Roman"/>
          <w:kern w:val="0"/>
          <w:sz w:val="24"/>
          <w:szCs w:val="20"/>
        </w:rPr>
        <w:t xml:space="preserve"> </w:t>
      </w:r>
    </w:p>
    <w:p>
      <w:pPr>
        <w:spacing w:line="360" w:lineRule="auto"/>
        <w:ind w:firstLine="5280" w:firstLineChars="2200"/>
        <w:rPr>
          <w:rFonts w:ascii="Calibri" w:hAnsi="Calibri" w:eastAsia="宋体" w:cs="Times New Roman"/>
          <w:kern w:val="0"/>
          <w:sz w:val="24"/>
          <w:szCs w:val="20"/>
        </w:rPr>
      </w:pPr>
      <w:r>
        <w:rPr>
          <w:rFonts w:hint="eastAsia" w:ascii="Calibri" w:hAnsi="Calibri" w:eastAsia="宋体" w:cs="Times New Roman"/>
          <w:kern w:val="0"/>
          <w:sz w:val="24"/>
          <w:szCs w:val="20"/>
        </w:rPr>
        <w:t xml:space="preserve"> 年   月   日</w:t>
      </w:r>
    </w:p>
    <w:p>
      <w:pPr>
        <w:spacing w:after="120"/>
        <w:rPr>
          <w:rFonts w:ascii="Times New Roman" w:hAnsi="Times New Roman" w:eastAsia="宋体" w:cs="Times New Roman"/>
          <w:szCs w:val="20"/>
        </w:rPr>
      </w:pPr>
    </w:p>
    <w:p>
      <w:pPr>
        <w:rPr>
          <w:rFonts w:ascii="Calibri" w:hAnsi="Calibri" w:eastAsia="宋体" w:cs="Times New Roman"/>
          <w:b/>
          <w:sz w:val="28"/>
          <w:szCs w:val="28"/>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jc w:val="center"/>
        <w:rPr>
          <w:rFonts w:ascii="Calibri" w:hAnsi="Calibri" w:eastAsia="宋体" w:cs="Times New Roman"/>
          <w:b/>
          <w:sz w:val="32"/>
          <w:szCs w:val="32"/>
        </w:rPr>
      </w:pPr>
    </w:p>
    <w:p>
      <w:pPr>
        <w:widowControl/>
        <w:spacing w:line="360" w:lineRule="auto"/>
        <w:rPr>
          <w:rFonts w:ascii="Calibri" w:hAnsi="Calibri" w:eastAsia="宋体" w:cs="Times New Roman"/>
          <w:b/>
          <w:bCs/>
          <w:sz w:val="32"/>
          <w:szCs w:val="32"/>
        </w:rPr>
      </w:pPr>
      <w:r>
        <w:rPr>
          <w:rFonts w:ascii="Times New Roman" w:hAnsi="Times New Roman" w:eastAsia="宋体" w:cs="Times New Roman"/>
          <w:szCs w:val="20"/>
        </w:rPr>
        <w:br w:type="page"/>
      </w:r>
      <w:r>
        <w:rPr>
          <w:rFonts w:hint="eastAsia" w:ascii="Calibri" w:hAnsi="Calibri" w:eastAsia="宋体" w:cs="Times New Roman"/>
          <w:b/>
          <w:bCs/>
          <w:sz w:val="32"/>
          <w:szCs w:val="32"/>
        </w:rPr>
        <w:t>4、具备履行合同所必需的设备和专业技术能力的书面声明</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我单位郑重声明：我单位具备履行本项目合同所必需的设备和专业技术能力，为履行本项合同我公司具备如下主要设备和主要专业技术能力：</w:t>
      </w:r>
    </w:p>
    <w:p>
      <w:pPr>
        <w:spacing w:line="360" w:lineRule="auto"/>
        <w:ind w:firstLine="492"/>
        <w:rPr>
          <w:rFonts w:ascii="宋体" w:hAnsi="宋体" w:eastAsia="宋体" w:cs="Times New Roman"/>
          <w:bCs/>
          <w:szCs w:val="21"/>
        </w:rPr>
      </w:pPr>
      <w:r>
        <w:rPr>
          <w:rFonts w:hint="eastAsia" w:ascii="宋体" w:hAnsi="宋体" w:eastAsia="宋体" w:cs="Times New Roman"/>
          <w:bCs/>
          <w:szCs w:val="21"/>
        </w:rPr>
        <w:t>主要设备有：。</w:t>
      </w:r>
    </w:p>
    <w:p>
      <w:pPr>
        <w:spacing w:line="360" w:lineRule="auto"/>
        <w:ind w:firstLine="492"/>
        <w:rPr>
          <w:rFonts w:ascii="Times New Roman" w:hAnsi="Times New Roman" w:eastAsia="宋体" w:cs="Times New Roman"/>
          <w:szCs w:val="20"/>
        </w:rPr>
      </w:pPr>
      <w:r>
        <w:rPr>
          <w:rFonts w:hint="eastAsia" w:ascii="宋体" w:hAnsi="宋体" w:eastAsia="宋体" w:cs="Times New Roman"/>
          <w:bCs/>
          <w:szCs w:val="21"/>
        </w:rPr>
        <w:t>主要专业技术能力有：。</w:t>
      </w:r>
    </w:p>
    <w:p>
      <w:pPr>
        <w:rPr>
          <w:rFonts w:ascii="Times New Roman" w:hAnsi="Times New Roman" w:eastAsia="宋体" w:cs="Times New Roman"/>
          <w:szCs w:val="20"/>
        </w:rPr>
      </w:pPr>
    </w:p>
    <w:p>
      <w:pPr>
        <w:spacing w:line="560" w:lineRule="exact"/>
        <w:rPr>
          <w:rFonts w:ascii="Calibri" w:hAnsi="Calibri" w:eastAsia="宋体" w:cs="Times New Roman"/>
          <w:b/>
          <w:sz w:val="44"/>
          <w:szCs w:val="44"/>
        </w:rPr>
      </w:pPr>
      <w:r>
        <w:rPr>
          <w:rFonts w:hint="eastAsia" w:ascii="Calibri" w:hAnsi="Calibri" w:eastAsia="Calibri" w:cs="Times New Roman"/>
          <w:kern w:val="0"/>
          <w:sz w:val="24"/>
          <w:szCs w:val="24"/>
        </w:rPr>
        <w:br w:type="page"/>
      </w:r>
    </w:p>
    <w:p>
      <w:pPr>
        <w:jc w:val="center"/>
        <w:rPr>
          <w:rFonts w:ascii="Calibri" w:hAnsi="Calibri" w:eastAsia="宋体" w:cs="Times New Roman"/>
          <w:b/>
          <w:sz w:val="44"/>
          <w:szCs w:val="44"/>
        </w:rPr>
      </w:pPr>
    </w:p>
    <w:p>
      <w:pPr>
        <w:jc w:val="center"/>
        <w:rPr>
          <w:rFonts w:ascii="Calibri" w:hAnsi="Calibri" w:eastAsia="宋体" w:cs="Times New Roman"/>
          <w:sz w:val="44"/>
          <w:szCs w:val="44"/>
        </w:rPr>
      </w:pPr>
      <w:r>
        <w:rPr>
          <w:rFonts w:hint="eastAsia" w:ascii="Calibri" w:hAnsi="Calibri" w:eastAsia="宋体" w:cs="Times New Roman"/>
          <w:sz w:val="44"/>
          <w:szCs w:val="44"/>
          <w:u w:val="single"/>
        </w:rPr>
        <w:t xml:space="preserve">（项目名称及标段）    </w:t>
      </w:r>
      <w:r>
        <w:rPr>
          <w:rFonts w:hint="eastAsia" w:ascii="Calibri" w:hAnsi="Calibri" w:eastAsia="宋体" w:cs="Times New Roman"/>
          <w:sz w:val="44"/>
          <w:szCs w:val="44"/>
        </w:rPr>
        <w:t>货物招标</w:t>
      </w:r>
    </w:p>
    <w:p>
      <w:pPr>
        <w:jc w:val="center"/>
        <w:rPr>
          <w:rFonts w:ascii="Calibri" w:hAnsi="Calibri" w:eastAsia="宋体" w:cs="Times New Roman"/>
          <w:sz w:val="28"/>
          <w:szCs w:val="28"/>
        </w:rPr>
      </w:pPr>
    </w:p>
    <w:p>
      <w:pPr>
        <w:jc w:val="center"/>
        <w:rPr>
          <w:rFonts w:ascii="Calibri" w:hAnsi="Calibri" w:eastAsia="宋体" w:cs="Times New Roman"/>
          <w:sz w:val="72"/>
          <w:szCs w:val="72"/>
        </w:rPr>
      </w:pPr>
    </w:p>
    <w:p>
      <w:pPr>
        <w:jc w:val="center"/>
        <w:rPr>
          <w:rFonts w:ascii="Cambria Math" w:hAnsi="Cambria Math" w:eastAsia="Cambria Math" w:cs="Times New Roman"/>
          <w:sz w:val="96"/>
          <w:szCs w:val="96"/>
        </w:rPr>
      </w:pPr>
      <w:r>
        <w:rPr>
          <w:rFonts w:hint="eastAsia" w:ascii="宋体" w:hAnsi="宋体" w:eastAsia="宋体" w:cs="宋体"/>
          <w:sz w:val="96"/>
          <w:szCs w:val="96"/>
        </w:rPr>
        <w:t>投</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文</w:t>
      </w:r>
      <w:r>
        <w:rPr>
          <w:rFonts w:hint="eastAsia" w:ascii="Cambria Math" w:hAnsi="Cambria Math" w:eastAsia="Cambria Math" w:cs="Times New Roman"/>
          <w:sz w:val="96"/>
          <w:szCs w:val="96"/>
        </w:rPr>
        <w:t xml:space="preserve"> </w:t>
      </w:r>
      <w:r>
        <w:rPr>
          <w:rFonts w:hint="eastAsia" w:ascii="宋体" w:hAnsi="宋体" w:eastAsia="宋体" w:cs="宋体"/>
          <w:sz w:val="96"/>
          <w:szCs w:val="96"/>
        </w:rPr>
        <w:t>件</w:t>
      </w:r>
    </w:p>
    <w:p>
      <w:pPr>
        <w:jc w:val="center"/>
        <w:rPr>
          <w:rFonts w:ascii="Calibri" w:hAnsi="Calibri" w:eastAsia="宋体" w:cs="Times New Roman"/>
          <w:sz w:val="28"/>
          <w:szCs w:val="28"/>
        </w:rPr>
      </w:pPr>
    </w:p>
    <w:p>
      <w:pPr>
        <w:jc w:val="center"/>
        <w:rPr>
          <w:rFonts w:ascii="Calibri" w:hAnsi="Calibri" w:eastAsia="宋体" w:cs="Times New Roman"/>
          <w:sz w:val="28"/>
          <w:szCs w:val="28"/>
        </w:rPr>
      </w:pPr>
      <w:r>
        <w:rPr>
          <w:rFonts w:hint="eastAsia" w:ascii="Calibri" w:hAnsi="Calibri" w:eastAsia="宋体" w:cs="Times New Roman"/>
          <w:sz w:val="28"/>
          <w:szCs w:val="28"/>
        </w:rPr>
        <w:t xml:space="preserve">标段编号： </w:t>
      </w:r>
    </w:p>
    <w:p>
      <w:pPr>
        <w:jc w:val="center"/>
        <w:rPr>
          <w:rFonts w:ascii="Calibri" w:hAnsi="Calibri" w:eastAsia="宋体" w:cs="Times New Roman"/>
          <w:sz w:val="28"/>
          <w:szCs w:val="28"/>
        </w:rPr>
      </w:pPr>
    </w:p>
    <w:p>
      <w:pP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spacing w:after="120"/>
        <w:rPr>
          <w:rFonts w:ascii="Times New Roman" w:hAnsi="Times New Roman" w:eastAsia="宋体" w:cs="Times New Roman"/>
          <w:szCs w:val="20"/>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jc w:val="center"/>
        <w:rPr>
          <w:rFonts w:ascii="Calibri" w:hAnsi="Calibri" w:eastAsia="宋体" w:cs="Times New Roman"/>
          <w:sz w:val="28"/>
          <w:szCs w:val="28"/>
        </w:rPr>
      </w:pPr>
    </w:p>
    <w:p>
      <w:pPr>
        <w:ind w:firstLine="1120" w:firstLineChars="400"/>
        <w:jc w:val="left"/>
        <w:rPr>
          <w:rFonts w:ascii="Calibri" w:hAnsi="Calibri" w:eastAsia="宋体" w:cs="Times New Roman"/>
          <w:sz w:val="28"/>
          <w:szCs w:val="28"/>
          <w:u w:val="single"/>
        </w:rPr>
      </w:pPr>
      <w:r>
        <w:rPr>
          <w:rFonts w:hint="eastAsia" w:ascii="Calibri" w:hAnsi="Calibri" w:eastAsia="宋体" w:cs="Times New Roman"/>
          <w:sz w:val="28"/>
          <w:szCs w:val="28"/>
        </w:rPr>
        <w:t>投标人（盖单位章）：</w:t>
      </w:r>
      <w:r>
        <w:rPr>
          <w:rFonts w:hint="eastAsia" w:ascii="Calibri" w:hAnsi="Calibri" w:eastAsia="宋体" w:cs="Times New Roman"/>
          <w:sz w:val="28"/>
          <w:szCs w:val="28"/>
          <w:u w:val="single"/>
        </w:rPr>
        <w:t xml:space="preserve">                            </w:t>
      </w:r>
    </w:p>
    <w:p>
      <w:pPr>
        <w:ind w:firstLine="1120" w:firstLineChars="400"/>
        <w:rPr>
          <w:rFonts w:ascii="Calibri" w:hAnsi="Calibri" w:eastAsia="宋体" w:cs="Times New Roman"/>
          <w:sz w:val="28"/>
          <w:szCs w:val="28"/>
        </w:rPr>
      </w:pPr>
      <w:r>
        <w:rPr>
          <w:rFonts w:hint="eastAsia" w:ascii="Calibri" w:hAnsi="Calibri" w:eastAsia="宋体" w:cs="Times New Roman"/>
          <w:sz w:val="28"/>
          <w:szCs w:val="28"/>
        </w:rPr>
        <w:t>日         期：     年    月     日</w:t>
      </w:r>
    </w:p>
    <w:p>
      <w:pPr>
        <w:tabs>
          <w:tab w:val="left" w:pos="1300"/>
          <w:tab w:val="left" w:pos="1600"/>
        </w:tabs>
        <w:spacing w:line="480" w:lineRule="exact"/>
        <w:rPr>
          <w:rFonts w:ascii="Calibri" w:hAnsi="Calibri" w:eastAsia="宋体" w:cs="Times New Roman"/>
          <w:kern w:val="0"/>
          <w:sz w:val="24"/>
          <w:szCs w:val="24"/>
        </w:rPr>
      </w:pPr>
      <w:r>
        <w:rPr>
          <w:rFonts w:ascii="Calibri" w:hAnsi="Calibri" w:eastAsia="宋体" w:cs="Times New Roman"/>
          <w:b/>
          <w:bCs/>
          <w:szCs w:val="20"/>
        </w:rPr>
        <w:br w:type="page"/>
      </w:r>
      <w:bookmarkStart w:id="216" w:name="_Toc397975327"/>
      <w:r>
        <w:rPr>
          <w:rFonts w:hint="eastAsia" w:ascii="Calibri" w:hAnsi="Calibri" w:eastAsia="宋体" w:cs="Times New Roman"/>
          <w:b/>
          <w:bCs/>
          <w:sz w:val="24"/>
          <w:szCs w:val="24"/>
        </w:rPr>
        <w:t>1.投标函</w:t>
      </w:r>
      <w:bookmarkEnd w:id="216"/>
    </w:p>
    <w:p>
      <w:pPr>
        <w:spacing w:line="360" w:lineRule="auto"/>
        <w:jc w:val="center"/>
        <w:rPr>
          <w:rFonts w:ascii="Calibri" w:hAnsi="Calibri" w:eastAsia="宋体" w:cs="Calibri"/>
          <w:b/>
          <w:sz w:val="32"/>
          <w:szCs w:val="32"/>
        </w:rPr>
      </w:pPr>
      <w:r>
        <w:rPr>
          <w:rFonts w:hint="eastAsia" w:ascii="Calibri" w:hAnsi="Calibri" w:eastAsia="宋体" w:cs="Calibri"/>
          <w:b/>
          <w:sz w:val="32"/>
          <w:szCs w:val="32"/>
        </w:rPr>
        <w:t>投标函</w:t>
      </w:r>
    </w:p>
    <w:p>
      <w:pPr>
        <w:spacing w:line="360" w:lineRule="auto"/>
        <w:rPr>
          <w:rFonts w:ascii="Calibri" w:hAnsi="Calibri" w:eastAsia="宋体" w:cs="Calibri"/>
          <w:sz w:val="24"/>
          <w:szCs w:val="24"/>
        </w:rPr>
      </w:pPr>
      <w:r>
        <w:rPr>
          <w:rFonts w:hint="eastAsia" w:ascii="Calibri" w:hAnsi="Calibri" w:eastAsia="宋体" w:cs="Calibri"/>
          <w:sz w:val="24"/>
          <w:szCs w:val="24"/>
          <w:u w:val="single"/>
        </w:rPr>
        <w:t xml:space="preserve">  </w:t>
      </w:r>
      <w:r>
        <w:rPr>
          <w:rFonts w:hint="eastAsia" w:ascii="Calibri" w:hAnsi="Calibri" w:eastAsia="宋体" w:cs="Calibri"/>
          <w:iCs/>
          <w:sz w:val="24"/>
          <w:szCs w:val="24"/>
          <w:u w:val="single"/>
        </w:rPr>
        <w:t>（招标人）</w:t>
      </w:r>
      <w:r>
        <w:rPr>
          <w:rFonts w:hint="eastAsia" w:ascii="Calibri" w:hAnsi="Calibri" w:eastAsia="宋体" w:cs="Calibri"/>
          <w:sz w:val="24"/>
          <w:szCs w:val="24"/>
          <w:u w:val="single"/>
        </w:rPr>
        <w:t xml:space="preserve">   </w:t>
      </w:r>
      <w:r>
        <w:rPr>
          <w:rFonts w:hint="eastAsia" w:ascii="Calibri" w:hAnsi="Calibri" w:eastAsia="宋体" w:cs="Calibri"/>
          <w:sz w:val="24"/>
          <w:szCs w:val="24"/>
        </w:rPr>
        <w:t>：</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1．我方已仔细研究了</w:t>
      </w:r>
      <w:r>
        <w:rPr>
          <w:rFonts w:ascii="Calibri" w:hAnsi="Calibri" w:eastAsia="宋体" w:cs="Times New Roman"/>
          <w:sz w:val="24"/>
          <w:szCs w:val="24"/>
          <w:u w:val="single"/>
        </w:rPr>
        <w:t xml:space="preserve">       </w:t>
      </w:r>
      <w:r>
        <w:rPr>
          <w:rFonts w:hint="eastAsia" w:ascii="Calibri" w:hAnsi="Calibri" w:eastAsia="宋体" w:cs="Times New Roman"/>
          <w:sz w:val="24"/>
          <w:szCs w:val="24"/>
          <w:u w:val="single"/>
        </w:rPr>
        <w:t xml:space="preserve">     </w:t>
      </w:r>
      <w:r>
        <w:rPr>
          <w:rFonts w:ascii="Calibri" w:hAnsi="Calibri" w:eastAsia="宋体" w:cs="Times New Roman"/>
          <w:sz w:val="24"/>
          <w:szCs w:val="24"/>
          <w:u w:val="single"/>
        </w:rPr>
        <w:t xml:space="preserve">   </w:t>
      </w:r>
      <w:r>
        <w:rPr>
          <w:rFonts w:hint="eastAsia" w:ascii="Calibri" w:hAnsi="Calibri" w:eastAsia="宋体" w:cs="Calibri"/>
          <w:kern w:val="0"/>
          <w:sz w:val="24"/>
          <w:szCs w:val="24"/>
        </w:rPr>
        <w:t>（项目名称及标段）招标文件</w:t>
      </w:r>
      <w:r>
        <w:rPr>
          <w:rFonts w:ascii="Calibri" w:hAnsi="Calibri" w:eastAsia="宋体" w:cs="Times New Roman"/>
          <w:sz w:val="24"/>
          <w:szCs w:val="24"/>
        </w:rPr>
        <w:t>的全部内容，</w:t>
      </w:r>
      <w:r>
        <w:rPr>
          <w:rFonts w:hint="eastAsia" w:ascii="宋体" w:hAnsi="TimesNewRomanPSMT" w:eastAsia="宋体" w:cs="宋体"/>
          <w:color w:val="000000"/>
          <w:kern w:val="0"/>
          <w:sz w:val="24"/>
          <w:szCs w:val="24"/>
        </w:rPr>
        <w:t>我方承诺投标报价为：小写</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 xml:space="preserve"> (大写:</w:t>
      </w:r>
      <w:r>
        <w:rPr>
          <w:rFonts w:hint="eastAsia" w:ascii="宋体" w:hAnsi="TimesNewRomanPSMT" w:eastAsia="宋体" w:cs="宋体"/>
          <w:color w:val="000000"/>
          <w:kern w:val="0"/>
          <w:sz w:val="24"/>
          <w:szCs w:val="24"/>
          <w:u w:val="single"/>
        </w:rPr>
        <w:t xml:space="preserve">          </w:t>
      </w:r>
      <w:r>
        <w:rPr>
          <w:rFonts w:hint="eastAsia" w:ascii="宋体" w:hAnsi="TimesNewRomanPSMT" w:eastAsia="宋体" w:cs="宋体"/>
          <w:color w:val="000000"/>
          <w:kern w:val="0"/>
          <w:sz w:val="24"/>
          <w:szCs w:val="24"/>
        </w:rPr>
        <w:t>)的投标价格，按招标文件规定的供货及安装期和合同约定，实施和完成各项任务。</w:t>
      </w:r>
    </w:p>
    <w:p>
      <w:pPr>
        <w:spacing w:line="440" w:lineRule="exact"/>
        <w:ind w:firstLine="480" w:firstLineChars="200"/>
        <w:rPr>
          <w:rFonts w:ascii="Calibri" w:hAnsi="Calibri" w:eastAsia="宋体" w:cs="Times New Roman"/>
          <w:sz w:val="24"/>
          <w:szCs w:val="24"/>
        </w:rPr>
      </w:pPr>
      <w:r>
        <w:rPr>
          <w:rFonts w:ascii="Calibri" w:hAnsi="Calibri" w:eastAsia="宋体" w:cs="Times New Roman"/>
          <w:sz w:val="24"/>
          <w:szCs w:val="24"/>
        </w:rPr>
        <w:t>2．我方承诺在</w:t>
      </w:r>
      <w:r>
        <w:rPr>
          <w:rFonts w:hint="eastAsia" w:ascii="Calibri" w:hAnsi="Calibri" w:eastAsia="宋体" w:cs="Times New Roman"/>
          <w:sz w:val="24"/>
          <w:szCs w:val="24"/>
        </w:rPr>
        <w:t>招标文件规定的</w:t>
      </w:r>
      <w:r>
        <w:rPr>
          <w:rFonts w:ascii="Calibri" w:hAnsi="Calibri" w:eastAsia="宋体" w:cs="Times New Roman"/>
          <w:sz w:val="24"/>
          <w:szCs w:val="24"/>
        </w:rPr>
        <w:t>投标有效期内不修改、撤销投标文件</w:t>
      </w:r>
      <w:r>
        <w:rPr>
          <w:rFonts w:hint="eastAsia" w:ascii="Calibri" w:hAnsi="Calibri" w:eastAsia="宋体" w:cs="Times New Roman"/>
          <w:sz w:val="24"/>
          <w:szCs w:val="24"/>
        </w:rPr>
        <w:t>。</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w:t>
      </w:r>
      <w:r>
        <w:rPr>
          <w:rFonts w:ascii="Calibri" w:hAnsi="Calibri" w:eastAsia="宋体" w:cs="Times New Roman"/>
          <w:sz w:val="24"/>
          <w:szCs w:val="24"/>
        </w:rPr>
        <w:t>．如我方中标：</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（1）我方承诺在收到中标通知书后，在中标通知书规定的期限内与你方签订合同。</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（2）我方承诺按照招标文件规定向你方递交履约保证金。</w:t>
      </w:r>
    </w:p>
    <w:p>
      <w:pPr>
        <w:spacing w:line="440" w:lineRule="exact"/>
        <w:ind w:firstLine="616" w:firstLineChars="257"/>
        <w:rPr>
          <w:rFonts w:ascii="Calibri" w:hAnsi="Calibri" w:eastAsia="宋体" w:cs="Times New Roman"/>
          <w:sz w:val="24"/>
          <w:szCs w:val="24"/>
        </w:rPr>
      </w:pPr>
      <w:r>
        <w:rPr>
          <w:rFonts w:ascii="Calibri" w:hAnsi="Calibri" w:eastAsia="宋体" w:cs="Times New Roman"/>
          <w:sz w:val="24"/>
          <w:szCs w:val="24"/>
        </w:rPr>
        <w:t>（3）我方承诺供货期</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日历天 。</w:t>
      </w:r>
    </w:p>
    <w:p>
      <w:pPr>
        <w:spacing w:after="120"/>
        <w:ind w:firstLine="720" w:firstLineChars="300"/>
        <w:rPr>
          <w:rFonts w:ascii="Times New Roman" w:hAnsi="Times New Roman" w:eastAsia="宋体" w:cs="Times New Roman"/>
          <w:szCs w:val="20"/>
        </w:rPr>
      </w:pPr>
      <w:r>
        <w:rPr>
          <w:rFonts w:ascii="Calibri" w:hAnsi="Calibri" w:eastAsia="宋体" w:cs="Times New Roman"/>
          <w:sz w:val="24"/>
          <w:szCs w:val="20"/>
        </w:rPr>
        <w:t>（</w:t>
      </w:r>
      <w:r>
        <w:rPr>
          <w:rFonts w:hint="eastAsia" w:ascii="Calibri" w:hAnsi="Calibri" w:eastAsia="宋体" w:cs="Times New Roman"/>
          <w:sz w:val="24"/>
          <w:szCs w:val="20"/>
        </w:rPr>
        <w:t>4</w:t>
      </w:r>
      <w:r>
        <w:rPr>
          <w:rFonts w:ascii="Calibri" w:hAnsi="Calibri" w:eastAsia="宋体" w:cs="Times New Roman"/>
          <w:sz w:val="24"/>
          <w:szCs w:val="20"/>
        </w:rPr>
        <w:t>）</w:t>
      </w:r>
      <w:r>
        <w:rPr>
          <w:rFonts w:hint="eastAsia" w:ascii="Calibri" w:hAnsi="Calibri" w:eastAsia="宋体" w:cs="Times New Roman"/>
          <w:sz w:val="24"/>
          <w:szCs w:val="20"/>
        </w:rPr>
        <w:t>我方将严格履行本投标文件中的全部承诺和责任，并遵守招标文件中对投标人的所有规定。</w:t>
      </w:r>
    </w:p>
    <w:p>
      <w:pPr>
        <w:spacing w:line="44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w:t>
      </w:r>
      <w:r>
        <w:rPr>
          <w:rFonts w:ascii="Calibri" w:hAnsi="Calibri" w:eastAsia="宋体" w:cs="Times New Roman"/>
          <w:sz w:val="24"/>
          <w:szCs w:val="24"/>
        </w:rPr>
        <w:t>．</w:t>
      </w:r>
      <w:r>
        <w:rPr>
          <w:rFonts w:hint="eastAsia" w:ascii="Calibri" w:hAnsi="Calibri" w:eastAsia="宋体" w:cs="Times New Roman"/>
          <w:sz w:val="24"/>
          <w:szCs w:val="24"/>
        </w:rPr>
        <w:t>我方在此声明，所递交的投标文件及有关资料内容完整、真实和准确，且不存在第一章“投标人须知”第1.4.3项规定的任何一种情形。</w:t>
      </w:r>
    </w:p>
    <w:p>
      <w:pPr>
        <w:spacing w:line="360" w:lineRule="auto"/>
        <w:ind w:firstLine="420" w:firstLineChars="200"/>
        <w:rPr>
          <w:rFonts w:ascii="Calibri" w:hAnsi="Calibri" w:eastAsia="宋体" w:cs="Calibri"/>
          <w:szCs w:val="21"/>
        </w:rPr>
      </w:pPr>
    </w:p>
    <w:p>
      <w:pPr>
        <w:spacing w:line="360" w:lineRule="auto"/>
        <w:ind w:firstLine="555"/>
        <w:rPr>
          <w:rFonts w:ascii="Calibri" w:hAnsi="Calibri" w:eastAsia="宋体" w:cs="Calibri"/>
          <w:b/>
          <w:szCs w:val="21"/>
        </w:rPr>
      </w:pPr>
    </w:p>
    <w:p>
      <w:pPr>
        <w:tabs>
          <w:tab w:val="left" w:pos="5665"/>
          <w:tab w:val="right" w:pos="8360"/>
        </w:tabs>
        <w:ind w:right="42" w:firstLine="1560" w:firstLineChars="650"/>
        <w:rPr>
          <w:rFonts w:ascii="Calibri" w:hAnsi="Calibri" w:eastAsia="宋体" w:cs="Calibri"/>
          <w:sz w:val="24"/>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 xml:space="preserve">日 期：   年   月   日                                         </w:t>
      </w:r>
      <w:r>
        <w:rPr>
          <w:rFonts w:hint="eastAsia" w:ascii="Calibri" w:hAnsi="Calibri" w:eastAsia="宋体" w:cs="Calibri"/>
          <w:sz w:val="24"/>
          <w:szCs w:val="20"/>
          <w:u w:val="single"/>
        </w:rPr>
        <w:t xml:space="preserve"> </w:t>
      </w:r>
    </w:p>
    <w:p>
      <w:pPr>
        <w:tabs>
          <w:tab w:val="left" w:pos="5665"/>
          <w:tab w:val="right" w:pos="8360"/>
        </w:tabs>
        <w:spacing w:line="360" w:lineRule="auto"/>
        <w:ind w:right="42" w:firstLine="1365" w:firstLineChars="650"/>
        <w:jc w:val="left"/>
        <w:rPr>
          <w:rFonts w:ascii="Calibri" w:hAnsi="Calibri" w:eastAsia="宋体" w:cs="Calibri"/>
          <w:szCs w:val="21"/>
          <w:u w:val="single"/>
        </w:rPr>
      </w:pPr>
    </w:p>
    <w:p>
      <w:pPr>
        <w:spacing w:before="260" w:after="260"/>
        <w:jc w:val="left"/>
        <w:outlineLvl w:val="1"/>
        <w:rPr>
          <w:rFonts w:ascii="等线 Light" w:hAnsi="等线 Light" w:eastAsia="宋体" w:cs="Calibri"/>
          <w:kern w:val="0"/>
          <w:sz w:val="32"/>
          <w:szCs w:val="44"/>
        </w:rPr>
      </w:pPr>
    </w:p>
    <w:p>
      <w:pPr>
        <w:spacing w:line="360" w:lineRule="auto"/>
        <w:rPr>
          <w:rFonts w:ascii="Times New Roman" w:hAnsi="Times New Roman" w:eastAsia="宋体" w:cs="Times New Roman"/>
          <w:szCs w:val="20"/>
        </w:rPr>
        <w:sectPr>
          <w:footerReference r:id="rId10" w:type="default"/>
          <w:footerReference r:id="rId11" w:type="even"/>
          <w:type w:val="nextColumn"/>
          <w:pgSz w:w="11906" w:h="16838"/>
          <w:pgMar w:top="1418" w:right="1021" w:bottom="1134" w:left="1701" w:header="851" w:footer="624" w:gutter="0"/>
          <w:cols w:space="720" w:num="1"/>
          <w:docGrid w:linePitch="312" w:charSpace="0"/>
        </w:sectPr>
      </w:pPr>
    </w:p>
    <w:p>
      <w:pPr>
        <w:spacing w:line="360" w:lineRule="auto"/>
        <w:rPr>
          <w:rFonts w:ascii="宋体" w:hAnsi="宋体" w:eastAsia="宋体" w:cs="Times New Roman"/>
          <w:b/>
          <w:color w:val="000000"/>
          <w:sz w:val="30"/>
          <w:szCs w:val="30"/>
        </w:rPr>
      </w:pPr>
      <w:r>
        <w:rPr>
          <w:rFonts w:hint="eastAsia" w:ascii="宋体" w:hAnsi="宋体" w:eastAsia="宋体" w:cs="Times New Roman"/>
          <w:b/>
          <w:color w:val="000000"/>
          <w:sz w:val="30"/>
          <w:szCs w:val="30"/>
        </w:rPr>
        <w:t>2、投标报价明细表</w:t>
      </w:r>
    </w:p>
    <w:tbl>
      <w:tblPr>
        <w:tblStyle w:val="23"/>
        <w:tblW w:w="9860" w:type="dxa"/>
        <w:tblInd w:w="93" w:type="dxa"/>
        <w:tblLayout w:type="fixed"/>
        <w:tblCellMar>
          <w:top w:w="0" w:type="dxa"/>
          <w:left w:w="108" w:type="dxa"/>
          <w:bottom w:w="0" w:type="dxa"/>
          <w:right w:w="108" w:type="dxa"/>
        </w:tblCellMar>
      </w:tblPr>
      <w:tblGrid>
        <w:gridCol w:w="502"/>
        <w:gridCol w:w="949"/>
        <w:gridCol w:w="1966"/>
        <w:gridCol w:w="1546"/>
        <w:gridCol w:w="562"/>
        <w:gridCol w:w="722"/>
        <w:gridCol w:w="1096"/>
        <w:gridCol w:w="1102"/>
        <w:gridCol w:w="1415"/>
      </w:tblGrid>
      <w:tr>
        <w:tblPrEx>
          <w:tblCellMar>
            <w:top w:w="0" w:type="dxa"/>
            <w:left w:w="108" w:type="dxa"/>
            <w:bottom w:w="0" w:type="dxa"/>
            <w:right w:w="108" w:type="dxa"/>
          </w:tblCellMar>
        </w:tblPrEx>
        <w:trPr>
          <w:trHeight w:val="799"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序号</w:t>
            </w:r>
          </w:p>
        </w:tc>
        <w:tc>
          <w:tcPr>
            <w:tcW w:w="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材料名称</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参数要求</w:t>
            </w:r>
          </w:p>
        </w:tc>
        <w:tc>
          <w:tcPr>
            <w:tcW w:w="1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规格型号</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单位</w:t>
            </w:r>
          </w:p>
        </w:tc>
        <w:tc>
          <w:tcPr>
            <w:tcW w:w="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数量</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单价（元）</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小计（元）</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备注</w:t>
            </w:r>
          </w:p>
        </w:tc>
      </w:tr>
      <w:tr>
        <w:tblPrEx>
          <w:tblCellMar>
            <w:top w:w="0" w:type="dxa"/>
            <w:left w:w="108" w:type="dxa"/>
            <w:bottom w:w="0" w:type="dxa"/>
            <w:right w:w="108" w:type="dxa"/>
          </w:tblCellMar>
        </w:tblPrEx>
        <w:trPr>
          <w:trHeight w:val="1602"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1</w:t>
            </w: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Cs w:val="21"/>
              </w:rPr>
            </w:pPr>
            <w:r>
              <w:rPr>
                <w:rFonts w:hint="eastAsia" w:cs="Arial" w:asciiTheme="minorEastAsia" w:hAnsiTheme="minorEastAsia"/>
                <w:kern w:val="0"/>
                <w:szCs w:val="21"/>
              </w:rPr>
              <w:t>D630焊接钢管</w:t>
            </w:r>
          </w:p>
        </w:tc>
        <w:tc>
          <w:tcPr>
            <w:tcW w:w="19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Arial" w:asciiTheme="minorEastAsia" w:hAnsiTheme="minorEastAsia"/>
                <w:kern w:val="0"/>
                <w:szCs w:val="21"/>
              </w:rPr>
            </w:pPr>
            <w:r>
              <w:rPr>
                <w:rFonts w:hint="eastAsia" w:cs="Arial" w:asciiTheme="minorEastAsia" w:hAnsiTheme="minorEastAsia"/>
                <w:kern w:val="0"/>
                <w:szCs w:val="21"/>
              </w:rPr>
              <w:t>除锈及内防腐要求：1、须先作除锈处理后再涂防腐材料，除锈等级应不低于《涂装前钢材表面锈蚀等级和除锈等级》GB/T8923-2011中规定的Sa2.5级;内表面经喷(抛)射处理后，应用清洁、干燥、无油的压缩空气将管道内部的砂粒、尘埃、锈粉等微尘清除干净。 2、内防腐:涂层选用厚浆型环氧聚氨酯复合涂层，涂层结构为厚浆型环氧聚氨酯底漆1道(含除锈、转锈成份，干膜厚度≥250μm)，厚浆型环氧聚氨酯面漆1道(干膜厚度≥250μm)，总干膜厚度≥500μm，做法见《钢制管道液体环氧涂料内防腐层技术标准》SY/T0457-2019。</w:t>
            </w: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D630，10mm厚</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米</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223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10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cs="Arial" w:asciiTheme="minorEastAsia" w:hAnsiTheme="minorEastAsia"/>
                <w:b/>
                <w:bCs/>
                <w:color w:val="000000"/>
                <w:kern w:val="0"/>
                <w:szCs w:val="21"/>
              </w:rPr>
            </w:pPr>
            <w:r>
              <w:rPr>
                <w:rFonts w:hint="eastAsia" w:cs="Arial" w:asciiTheme="minorEastAsia" w:hAnsiTheme="minorEastAsia"/>
                <w:b/>
                <w:bCs/>
                <w:color w:val="000000"/>
                <w:kern w:val="0"/>
                <w:szCs w:val="21"/>
              </w:rPr>
              <w:t>外防腐要求：</w:t>
            </w:r>
            <w:r>
              <w:rPr>
                <w:rFonts w:hint="eastAsia" w:cs="Arial" w:asciiTheme="minorEastAsia" w:hAnsiTheme="minorEastAsia"/>
                <w:color w:val="000000"/>
                <w:kern w:val="0"/>
                <w:szCs w:val="21"/>
              </w:rPr>
              <w:t>采用IPN8710-1新型聚合物防腐涂料(底漆);采用IPN8710-3厚浆糊状防腐涂料(面漆)，其结构为:底漆一玻璃纤维布一底漆一玻璃纤维布一两道面漆，干膜厚度≥500um。</w:t>
            </w:r>
          </w:p>
        </w:tc>
      </w:tr>
      <w:tr>
        <w:tblPrEx>
          <w:tblCellMar>
            <w:top w:w="0" w:type="dxa"/>
            <w:left w:w="108" w:type="dxa"/>
            <w:bottom w:w="0" w:type="dxa"/>
            <w:right w:w="108" w:type="dxa"/>
          </w:tblCellMar>
        </w:tblPrEx>
        <w:trPr>
          <w:trHeight w:val="1602" w:hRule="atLeast"/>
        </w:trPr>
        <w:tc>
          <w:tcPr>
            <w:tcW w:w="5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2</w:t>
            </w:r>
          </w:p>
        </w:tc>
        <w:tc>
          <w:tcPr>
            <w:tcW w:w="94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Cs w:val="21"/>
              </w:rPr>
            </w:pPr>
            <w:r>
              <w:rPr>
                <w:rFonts w:hint="eastAsia" w:cs="Arial" w:asciiTheme="minorEastAsia" w:hAnsiTheme="minorEastAsia"/>
                <w:kern w:val="0"/>
                <w:szCs w:val="21"/>
              </w:rPr>
              <w:t>D1220焊接钢管</w:t>
            </w:r>
          </w:p>
        </w:tc>
        <w:tc>
          <w:tcPr>
            <w:tcW w:w="1966" w:type="dxa"/>
            <w:vMerge w:val="continue"/>
            <w:tcBorders>
              <w:top w:val="nil"/>
              <w:left w:val="single" w:color="auto" w:sz="4" w:space="0"/>
              <w:bottom w:val="single" w:color="000000" w:sz="4" w:space="0"/>
              <w:right w:val="single" w:color="auto" w:sz="4" w:space="0"/>
            </w:tcBorders>
            <w:vAlign w:val="center"/>
          </w:tcPr>
          <w:p>
            <w:pPr>
              <w:widowControl/>
              <w:jc w:val="left"/>
              <w:rPr>
                <w:rFonts w:cs="Arial" w:asciiTheme="minorEastAsia" w:hAnsiTheme="minorEastAsia"/>
                <w:kern w:val="0"/>
                <w:szCs w:val="21"/>
              </w:rPr>
            </w:pPr>
          </w:p>
        </w:tc>
        <w:tc>
          <w:tcPr>
            <w:tcW w:w="1546"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D1220，12mm厚</w:t>
            </w:r>
          </w:p>
        </w:tc>
        <w:tc>
          <w:tcPr>
            <w:tcW w:w="56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米</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102"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415" w:type="dxa"/>
            <w:vMerge w:val="continue"/>
            <w:tcBorders>
              <w:top w:val="nil"/>
              <w:left w:val="single" w:color="auto" w:sz="4" w:space="0"/>
              <w:bottom w:val="single" w:color="000000" w:sz="4" w:space="0"/>
              <w:right w:val="single" w:color="auto" w:sz="4" w:space="0"/>
            </w:tcBorders>
            <w:vAlign w:val="center"/>
          </w:tcPr>
          <w:p>
            <w:pPr>
              <w:widowControl/>
              <w:jc w:val="left"/>
              <w:rPr>
                <w:rFonts w:cs="Arial" w:asciiTheme="minorEastAsia" w:hAnsiTheme="minorEastAsia"/>
                <w:b/>
                <w:bCs/>
                <w:color w:val="000000"/>
                <w:kern w:val="0"/>
                <w:szCs w:val="21"/>
              </w:rPr>
            </w:pPr>
          </w:p>
        </w:tc>
      </w:tr>
      <w:tr>
        <w:tblPrEx>
          <w:tblCellMar>
            <w:top w:w="0" w:type="dxa"/>
            <w:left w:w="108" w:type="dxa"/>
            <w:bottom w:w="0" w:type="dxa"/>
            <w:right w:w="108" w:type="dxa"/>
          </w:tblCellMar>
        </w:tblPrEx>
        <w:trPr>
          <w:trHeight w:val="1602" w:hRule="atLeast"/>
        </w:trPr>
        <w:tc>
          <w:tcPr>
            <w:tcW w:w="502" w:type="dxa"/>
            <w:tcBorders>
              <w:top w:val="nil"/>
              <w:left w:val="single" w:color="auto" w:sz="4" w:space="0"/>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3</w:t>
            </w:r>
          </w:p>
        </w:tc>
        <w:tc>
          <w:tcPr>
            <w:tcW w:w="949"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kern w:val="0"/>
                <w:szCs w:val="21"/>
              </w:rPr>
            </w:pPr>
            <w:r>
              <w:rPr>
                <w:rFonts w:hint="eastAsia" w:cs="Arial" w:asciiTheme="minorEastAsia" w:hAnsiTheme="minorEastAsia"/>
                <w:kern w:val="0"/>
                <w:szCs w:val="21"/>
              </w:rPr>
              <w:t>D820焊接钢管（拖拉管）</w:t>
            </w:r>
          </w:p>
        </w:tc>
        <w:tc>
          <w:tcPr>
            <w:tcW w:w="1966" w:type="dxa"/>
            <w:vMerge w:val="continue"/>
            <w:tcBorders>
              <w:top w:val="nil"/>
              <w:left w:val="single" w:color="auto" w:sz="4" w:space="0"/>
              <w:bottom w:val="nil"/>
              <w:right w:val="single" w:color="auto" w:sz="4" w:space="0"/>
            </w:tcBorders>
            <w:vAlign w:val="center"/>
          </w:tcPr>
          <w:p>
            <w:pPr>
              <w:widowControl/>
              <w:jc w:val="left"/>
              <w:rPr>
                <w:rFonts w:cs="Arial" w:asciiTheme="minorEastAsia" w:hAnsiTheme="minorEastAsia"/>
                <w:kern w:val="0"/>
                <w:szCs w:val="21"/>
              </w:rPr>
            </w:pPr>
          </w:p>
        </w:tc>
        <w:tc>
          <w:tcPr>
            <w:tcW w:w="1546"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D820，12mm厚</w:t>
            </w:r>
          </w:p>
        </w:tc>
        <w:tc>
          <w:tcPr>
            <w:tcW w:w="562"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米</w:t>
            </w:r>
          </w:p>
        </w:tc>
        <w:tc>
          <w:tcPr>
            <w:tcW w:w="722"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580</w:t>
            </w:r>
          </w:p>
        </w:tc>
        <w:tc>
          <w:tcPr>
            <w:tcW w:w="1096"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102" w:type="dxa"/>
            <w:tcBorders>
              <w:top w:val="nil"/>
              <w:left w:val="nil"/>
              <w:bottom w:val="nil"/>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415" w:type="dxa"/>
            <w:tcBorders>
              <w:top w:val="nil"/>
              <w:left w:val="nil"/>
              <w:bottom w:val="nil"/>
              <w:right w:val="single" w:color="auto" w:sz="4" w:space="0"/>
            </w:tcBorders>
            <w:shd w:val="clear" w:color="auto" w:fill="auto"/>
            <w:vAlign w:val="center"/>
          </w:tcPr>
          <w:p>
            <w:pPr>
              <w:widowControl/>
              <w:jc w:val="left"/>
              <w:rPr>
                <w:rFonts w:cs="Arial" w:asciiTheme="minorEastAsia" w:hAnsiTheme="minorEastAsia"/>
                <w:b/>
                <w:bCs/>
                <w:color w:val="000000"/>
                <w:kern w:val="0"/>
                <w:szCs w:val="21"/>
              </w:rPr>
            </w:pPr>
            <w:r>
              <w:rPr>
                <w:rFonts w:hint="eastAsia" w:cs="Arial" w:asciiTheme="minorEastAsia" w:hAnsiTheme="minorEastAsia"/>
                <w:b/>
                <w:bCs/>
                <w:color w:val="000000"/>
                <w:kern w:val="0"/>
                <w:szCs w:val="21"/>
              </w:rPr>
              <w:t>外防腐要求：</w:t>
            </w:r>
            <w:r>
              <w:rPr>
                <w:rFonts w:hint="eastAsia" w:cs="Arial" w:asciiTheme="minorEastAsia" w:hAnsiTheme="minorEastAsia"/>
                <w:color w:val="000000"/>
                <w:kern w:val="0"/>
                <w:szCs w:val="21"/>
              </w:rPr>
              <w:t>采用702环氧富锌底漆和842环氧云铁底漆各一道，546超厚型环氧树脂漆三道。</w:t>
            </w:r>
          </w:p>
        </w:tc>
      </w:tr>
      <w:tr>
        <w:tblPrEx>
          <w:tblCellMar>
            <w:top w:w="0" w:type="dxa"/>
            <w:left w:w="108" w:type="dxa"/>
            <w:bottom w:w="0" w:type="dxa"/>
            <w:right w:w="108" w:type="dxa"/>
          </w:tblCellMar>
        </w:tblPrEx>
        <w:trPr>
          <w:trHeight w:val="551" w:hRule="atLeast"/>
        </w:trPr>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4</w:t>
            </w:r>
          </w:p>
        </w:tc>
        <w:tc>
          <w:tcPr>
            <w:tcW w:w="68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r>
              <w:rPr>
                <w:rFonts w:hint="eastAsia" w:cs="Arial" w:asciiTheme="minorEastAsia" w:hAnsiTheme="minorEastAsia"/>
                <w:color w:val="000000"/>
                <w:kern w:val="0"/>
                <w:szCs w:val="21"/>
              </w:rPr>
              <w:t>合计</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color w:val="000000"/>
                <w:kern w:val="0"/>
                <w:szCs w:val="21"/>
              </w:rPr>
            </w:pP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Arial" w:asciiTheme="minorEastAsia" w:hAnsiTheme="minorEastAsia"/>
                <w:b/>
                <w:bCs/>
                <w:color w:val="000000"/>
                <w:kern w:val="0"/>
                <w:szCs w:val="21"/>
              </w:rPr>
            </w:pPr>
          </w:p>
        </w:tc>
      </w:tr>
    </w:tbl>
    <w:p>
      <w:pPr>
        <w:spacing w:after="120"/>
        <w:rPr>
          <w:rFonts w:ascii="Times New Roman" w:hAnsi="Times New Roman" w:eastAsia="宋体" w:cs="Times New Roman"/>
          <w:szCs w:val="20"/>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投标人(公章)：</w:t>
      </w:r>
      <w:r>
        <w:rPr>
          <w:rFonts w:hint="eastAsia" w:ascii="Calibri" w:hAnsi="Calibri" w:eastAsia="宋体" w:cs="Calibri"/>
          <w:sz w:val="24"/>
          <w:szCs w:val="20"/>
          <w:u w:val="single"/>
        </w:rPr>
        <w:t xml:space="preserve">                                  </w:t>
      </w:r>
    </w:p>
    <w:p>
      <w:pPr>
        <w:tabs>
          <w:tab w:val="left" w:pos="5665"/>
          <w:tab w:val="right" w:pos="8360"/>
        </w:tabs>
        <w:ind w:right="42"/>
        <w:rPr>
          <w:rFonts w:ascii="Calibri" w:hAnsi="Calibri" w:eastAsia="宋体" w:cs="Calibri"/>
          <w:sz w:val="24"/>
          <w:szCs w:val="20"/>
          <w:u w:val="single"/>
        </w:rPr>
      </w:pPr>
    </w:p>
    <w:p>
      <w:pPr>
        <w:tabs>
          <w:tab w:val="left" w:pos="5665"/>
          <w:tab w:val="right" w:pos="8360"/>
        </w:tabs>
        <w:ind w:right="42" w:firstLine="1560" w:firstLineChars="650"/>
        <w:rPr>
          <w:rFonts w:ascii="Calibri" w:hAnsi="Calibri" w:eastAsia="宋体" w:cs="Calibri"/>
          <w:sz w:val="24"/>
          <w:szCs w:val="20"/>
          <w:u w:val="single"/>
        </w:rPr>
      </w:pPr>
      <w:r>
        <w:rPr>
          <w:rFonts w:hint="eastAsia" w:ascii="Calibri" w:hAnsi="Calibri" w:eastAsia="宋体" w:cs="Calibri"/>
          <w:sz w:val="24"/>
          <w:szCs w:val="20"/>
        </w:rPr>
        <w:t>法定代表人或授权委托人（签字或盖章）：</w:t>
      </w:r>
      <w:r>
        <w:rPr>
          <w:rFonts w:hint="eastAsia" w:ascii="Calibri" w:hAnsi="Calibri" w:eastAsia="宋体" w:cs="Calibri"/>
          <w:sz w:val="24"/>
          <w:szCs w:val="20"/>
          <w:u w:val="single"/>
        </w:rPr>
        <w:t xml:space="preserve">             </w:t>
      </w:r>
    </w:p>
    <w:p>
      <w:pPr>
        <w:tabs>
          <w:tab w:val="left" w:pos="5665"/>
          <w:tab w:val="right" w:pos="8360"/>
        </w:tabs>
        <w:ind w:right="42"/>
        <w:rPr>
          <w:rFonts w:ascii="Calibri" w:hAnsi="Calibri" w:eastAsia="宋体" w:cs="Calibri"/>
          <w:sz w:val="24"/>
          <w:szCs w:val="20"/>
          <w:u w:val="single"/>
        </w:rPr>
      </w:pPr>
    </w:p>
    <w:p>
      <w:pPr>
        <w:spacing w:after="120"/>
        <w:ind w:firstLine="2160" w:firstLineChars="900"/>
        <w:rPr>
          <w:rFonts w:ascii="Times New Roman" w:hAnsi="Times New Roman" w:eastAsia="宋体" w:cs="Times New Roman"/>
          <w:szCs w:val="20"/>
        </w:rPr>
      </w:pPr>
      <w:r>
        <w:rPr>
          <w:rFonts w:hint="eastAsia" w:ascii="Calibri" w:hAnsi="Calibri" w:eastAsia="宋体" w:cs="Calibri"/>
          <w:sz w:val="24"/>
          <w:szCs w:val="20"/>
        </w:rPr>
        <w:t>日 期：   年   月   日</w:t>
      </w:r>
    </w:p>
    <w:p>
      <w:pPr>
        <w:autoSpaceDE w:val="0"/>
        <w:autoSpaceDN w:val="0"/>
        <w:adjustRightInd w:val="0"/>
        <w:ind w:right="420" w:firstLine="2108" w:firstLineChars="1004"/>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autoSpaceDE w:val="0"/>
        <w:autoSpaceDN w:val="0"/>
        <w:adjustRightInd w:val="0"/>
        <w:ind w:right="420" w:firstLine="2108" w:firstLineChars="1004"/>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1wCVg9QEAAMMDAAAOAAAAAAAAAAEAIAAAAB8BAABkcnMvZTJvRG9jLnhtbFBLBQYAAAAA&#10;BgAGAFkBAACG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vanish/>
      </w:rPr>
      <w:t xml:space="preserve"> </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19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J9a24f0AQAAww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0490" cy="262890"/>
              <wp:effectExtent l="0" t="0" r="381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a:effectLst/>
                    </wps:spPr>
                    <wps:txbx>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7</w:t>
                          </w:r>
                          <w:r>
                            <w:rPr>
                              <w:rStyle w:val="27"/>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8.7pt;mso-position-horizontal:center;mso-position-horizontal-relative:margin;mso-wrap-style:none;z-index:251661312;mso-width-relative:page;mso-height-relative:page;" filled="f" stroked="f" coordsize="21600,21600" o:gfxdata="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TYZ&#10;f9EAAAADAQAADwAAAAAAAAABACAAAAAiAAAAZHJzL2Rvd25yZXYueG1sUEsBAhQAFAAAAAgAh07i&#10;QHDuJCDwAQAAxAMAAA4AAAAAAAAAAQAgAAAAIAEAAGRycy9lMm9Eb2MueG1sUEsFBgAAAAAGAAYA&#10;WQEAAIIFAAAAAA==&#10;">
              <v:fill on="f" focussize="0,0"/>
              <v:stroke on="f"/>
              <v:imagedata o:title=""/>
              <o:lock v:ext="edit" aspectratio="f"/>
              <v:textbox inset="0mm,0mm,0mm,0mm" style="mso-fit-shape-to-text:t;">
                <w:txbxContent>
                  <w:p>
                    <w:pPr>
                      <w:pStyle w:val="17"/>
                      <w:rPr>
                        <w:rStyle w:val="27"/>
                      </w:rPr>
                    </w:pPr>
                    <w:r>
                      <w:rPr>
                        <w:rStyle w:val="27"/>
                      </w:rPr>
                      <w:fldChar w:fldCharType="begin"/>
                    </w:r>
                    <w:r>
                      <w:rPr>
                        <w:rStyle w:val="27"/>
                      </w:rPr>
                      <w:instrText xml:space="preserve">PAGE  </w:instrText>
                    </w:r>
                    <w:r>
                      <w:rPr>
                        <w:rStyle w:val="27"/>
                      </w:rPr>
                      <w:fldChar w:fldCharType="separate"/>
                    </w:r>
                    <w:r>
                      <w:rPr>
                        <w:rStyle w:val="27"/>
                      </w:rPr>
                      <w:t>7</w:t>
                    </w:r>
                    <w:r>
                      <w:rPr>
                        <w:rStyle w:val="2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MHrxoD0AQAAwgMAAA4AAAAAAAAAAQAgAAAAHwEAAGRycy9lMm9Eb2MueG1sUEsFBgAAAAAG&#10;AAYAWQEAAIU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separate"/>
    </w:r>
    <w:r>
      <w:rPr>
        <w:rStyle w:val="27"/>
        <w:vanish/>
      </w:rPr>
      <w:t xml:space="preserve"> </w:t>
    </w:r>
    <w:r>
      <w:rPr>
        <w:rStyle w:val="27"/>
      </w:rPr>
      <w:fldChar w:fldCharType="end"/>
    </w:r>
  </w:p>
  <w:p>
    <w:pPr>
      <w:pStyle w:val="1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190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7"/>
                            <w:jc w:val="center"/>
                          </w:pPr>
                          <w:r>
                            <w:fldChar w:fldCharType="begin"/>
                          </w:r>
                          <w:r>
                            <w:instrText xml:space="preserve">PAGE   \* MERGEFORMAT</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MWmG70AQAAwgMAAA4AAAAAAAAAAQAgAAAAHwEAAGRycy9lMm9Eb2M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t xml:space="preserve"> </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i/>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EF"/>
    <w:multiLevelType w:val="multilevel"/>
    <w:tmpl w:val="012631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C05896"/>
    <w:multiLevelType w:val="multilevel"/>
    <w:tmpl w:val="2DC05896"/>
    <w:lvl w:ilvl="0" w:tentative="0">
      <w:start w:val="1"/>
      <w:numFmt w:val="japaneseCounting"/>
      <w:lvlText w:val="第%1章"/>
      <w:lvlJc w:val="left"/>
      <w:pPr>
        <w:tabs>
          <w:tab w:val="left" w:pos="0"/>
        </w:tabs>
        <w:ind w:left="7209" w:hanging="84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6CA83EA0"/>
    <w:multiLevelType w:val="multilevel"/>
    <w:tmpl w:val="6CA83EA0"/>
    <w:lvl w:ilvl="0" w:tentative="0">
      <w:start w:val="1"/>
      <w:numFmt w:val="japaneseCounting"/>
      <w:lvlText w:val="第%1章"/>
      <w:lvlJc w:val="left"/>
      <w:pPr>
        <w:tabs>
          <w:tab w:val="left" w:pos="3690"/>
        </w:tabs>
        <w:ind w:left="7763" w:hanging="1668"/>
      </w:pPr>
      <w:rPr>
        <w:rFonts w:hint="default"/>
      </w:rPr>
    </w:lvl>
    <w:lvl w:ilvl="1" w:tentative="0">
      <w:start w:val="1"/>
      <w:numFmt w:val="lowerLetter"/>
      <w:lvlText w:val="%2)"/>
      <w:lvlJc w:val="left"/>
      <w:pPr>
        <w:tabs>
          <w:tab w:val="left" w:pos="0"/>
        </w:tabs>
        <w:ind w:left="3245" w:hanging="420"/>
      </w:pPr>
    </w:lvl>
    <w:lvl w:ilvl="2" w:tentative="0">
      <w:start w:val="1"/>
      <w:numFmt w:val="lowerRoman"/>
      <w:lvlText w:val="%3."/>
      <w:lvlJc w:val="right"/>
      <w:pPr>
        <w:tabs>
          <w:tab w:val="left" w:pos="0"/>
        </w:tabs>
        <w:ind w:left="3665" w:hanging="420"/>
      </w:pPr>
    </w:lvl>
    <w:lvl w:ilvl="3" w:tentative="0">
      <w:start w:val="1"/>
      <w:numFmt w:val="decimal"/>
      <w:lvlText w:val="%4."/>
      <w:lvlJc w:val="left"/>
      <w:pPr>
        <w:tabs>
          <w:tab w:val="left" w:pos="0"/>
        </w:tabs>
        <w:ind w:left="4085" w:hanging="420"/>
      </w:pPr>
    </w:lvl>
    <w:lvl w:ilvl="4" w:tentative="0">
      <w:start w:val="1"/>
      <w:numFmt w:val="lowerLetter"/>
      <w:lvlText w:val="%5)"/>
      <w:lvlJc w:val="left"/>
      <w:pPr>
        <w:tabs>
          <w:tab w:val="left" w:pos="0"/>
        </w:tabs>
        <w:ind w:left="4505" w:hanging="420"/>
      </w:pPr>
    </w:lvl>
    <w:lvl w:ilvl="5" w:tentative="0">
      <w:start w:val="1"/>
      <w:numFmt w:val="lowerRoman"/>
      <w:lvlText w:val="%6."/>
      <w:lvlJc w:val="right"/>
      <w:pPr>
        <w:tabs>
          <w:tab w:val="left" w:pos="0"/>
        </w:tabs>
        <w:ind w:left="4925" w:hanging="420"/>
      </w:pPr>
    </w:lvl>
    <w:lvl w:ilvl="6" w:tentative="0">
      <w:start w:val="1"/>
      <w:numFmt w:val="decimal"/>
      <w:lvlText w:val="%7."/>
      <w:lvlJc w:val="left"/>
      <w:pPr>
        <w:tabs>
          <w:tab w:val="left" w:pos="0"/>
        </w:tabs>
        <w:ind w:left="5345" w:hanging="420"/>
      </w:pPr>
    </w:lvl>
    <w:lvl w:ilvl="7" w:tentative="0">
      <w:start w:val="1"/>
      <w:numFmt w:val="lowerLetter"/>
      <w:lvlText w:val="%8)"/>
      <w:lvlJc w:val="left"/>
      <w:pPr>
        <w:tabs>
          <w:tab w:val="left" w:pos="0"/>
        </w:tabs>
        <w:ind w:left="5765" w:hanging="420"/>
      </w:pPr>
    </w:lvl>
    <w:lvl w:ilvl="8" w:tentative="0">
      <w:start w:val="1"/>
      <w:numFmt w:val="lowerRoman"/>
      <w:lvlText w:val="%9."/>
      <w:lvlJc w:val="right"/>
      <w:pPr>
        <w:tabs>
          <w:tab w:val="left" w:pos="0"/>
        </w:tabs>
        <w:ind w:left="61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C"/>
    <w:rsid w:val="000923D0"/>
    <w:rsid w:val="00093FBD"/>
    <w:rsid w:val="000D28FF"/>
    <w:rsid w:val="000D4048"/>
    <w:rsid w:val="000E080D"/>
    <w:rsid w:val="00123EED"/>
    <w:rsid w:val="001B0B4C"/>
    <w:rsid w:val="001E67C8"/>
    <w:rsid w:val="00205514"/>
    <w:rsid w:val="00250234"/>
    <w:rsid w:val="002D3CBF"/>
    <w:rsid w:val="00325CC0"/>
    <w:rsid w:val="00441106"/>
    <w:rsid w:val="0046689E"/>
    <w:rsid w:val="004D553C"/>
    <w:rsid w:val="006E29C9"/>
    <w:rsid w:val="00731E06"/>
    <w:rsid w:val="007673AE"/>
    <w:rsid w:val="00923384"/>
    <w:rsid w:val="009C0087"/>
    <w:rsid w:val="00C25742"/>
    <w:rsid w:val="00D00C25"/>
    <w:rsid w:val="00D911C7"/>
    <w:rsid w:val="00DF5444"/>
    <w:rsid w:val="00E00D8F"/>
    <w:rsid w:val="00E778C4"/>
    <w:rsid w:val="00E8126F"/>
    <w:rsid w:val="00EC3A7A"/>
    <w:rsid w:val="00F75DD8"/>
    <w:rsid w:val="03924B2E"/>
    <w:rsid w:val="0642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iPriority="99"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0"/>
    <w:pPr>
      <w:keepNext/>
      <w:keepLines/>
      <w:spacing w:before="260" w:after="260" w:line="415" w:lineRule="auto"/>
      <w:jc w:val="left"/>
      <w:outlineLvl w:val="1"/>
    </w:pPr>
    <w:rPr>
      <w:rFonts w:ascii="Arial" w:hAnsi="Arial" w:eastAsia="宋体" w:cs="Times New Roman"/>
      <w:b/>
      <w:bCs/>
      <w:kern w:val="0"/>
      <w:sz w:val="32"/>
      <w:szCs w:val="44"/>
    </w:rPr>
  </w:style>
  <w:style w:type="paragraph" w:styleId="4">
    <w:name w:val="heading 3"/>
    <w:basedOn w:val="1"/>
    <w:next w:val="1"/>
    <w:link w:val="48"/>
    <w:qFormat/>
    <w:uiPriority w:val="9"/>
    <w:pPr>
      <w:keepNext/>
      <w:keepLines/>
      <w:spacing w:before="20" w:after="20" w:line="415" w:lineRule="auto"/>
      <w:outlineLvl w:val="2"/>
    </w:pPr>
    <w:rPr>
      <w:rFonts w:ascii="Times New Roman" w:hAnsi="Times New Roman" w:eastAsia="Cambria Math" w:cs="Times New Roman"/>
      <w:b/>
      <w:sz w:val="24"/>
      <w:szCs w:val="20"/>
    </w:rPr>
  </w:style>
  <w:style w:type="paragraph" w:styleId="5">
    <w:name w:val="heading 4"/>
    <w:basedOn w:val="1"/>
    <w:next w:val="6"/>
    <w:link w:val="45"/>
    <w:qFormat/>
    <w:uiPriority w:val="0"/>
    <w:pPr>
      <w:spacing w:before="280" w:after="290" w:line="377" w:lineRule="auto"/>
      <w:outlineLvl w:val="3"/>
    </w:pPr>
    <w:rPr>
      <w:rFonts w:ascii="Arial" w:hAnsi="Arial" w:eastAsia="黑体" w:cs="Times New Roman"/>
      <w:b/>
      <w:bCs/>
      <w:kern w:val="0"/>
      <w:sz w:val="28"/>
      <w:szCs w:val="28"/>
    </w:rPr>
  </w:style>
  <w:style w:type="paragraph" w:styleId="7">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9"/>
    <w:qFormat/>
    <w:uiPriority w:val="0"/>
    <w:pPr>
      <w:ind w:firstLine="420"/>
    </w:pPr>
    <w:rPr>
      <w:rFonts w:ascii="Times New Roman" w:hAnsi="Times New Roman" w:eastAsia="宋体" w:cs="Times New Roman"/>
      <w:b/>
      <w:sz w:val="24"/>
      <w:szCs w:val="20"/>
    </w:rPr>
  </w:style>
  <w:style w:type="paragraph" w:styleId="8">
    <w:name w:val="toc 7"/>
    <w:basedOn w:val="1"/>
    <w:next w:val="1"/>
    <w:qFormat/>
    <w:uiPriority w:val="0"/>
    <w:pPr>
      <w:ind w:left="2520" w:leftChars="1200"/>
    </w:pPr>
    <w:rPr>
      <w:rFonts w:ascii="Times New Roman" w:hAnsi="Times New Roman" w:eastAsia="宋体" w:cs="Times New Roman"/>
      <w:szCs w:val="20"/>
    </w:rPr>
  </w:style>
  <w:style w:type="paragraph" w:styleId="9">
    <w:name w:val="table of authorities"/>
    <w:basedOn w:val="1"/>
    <w:next w:val="1"/>
    <w:qFormat/>
    <w:uiPriority w:val="99"/>
    <w:pPr>
      <w:ind w:left="420" w:leftChars="200"/>
    </w:pPr>
    <w:rPr>
      <w:rFonts w:ascii="Times New Roman" w:hAnsi="Times New Roman" w:eastAsia="宋体" w:cs="Times New Roman"/>
    </w:rPr>
  </w:style>
  <w:style w:type="paragraph" w:styleId="10">
    <w:name w:val="annotation text"/>
    <w:basedOn w:val="1"/>
    <w:link w:val="50"/>
    <w:unhideWhenUsed/>
    <w:qFormat/>
    <w:uiPriority w:val="99"/>
    <w:pPr>
      <w:jc w:val="left"/>
    </w:pPr>
    <w:rPr>
      <w:rFonts w:ascii="Times New Roman" w:hAnsi="Times New Roman" w:eastAsia="楷体_GB2312" w:cs="Times New Roman"/>
    </w:rPr>
  </w:style>
  <w:style w:type="paragraph" w:styleId="11">
    <w:name w:val="Body Text"/>
    <w:basedOn w:val="1"/>
    <w:link w:val="47"/>
    <w:unhideWhenUsed/>
    <w:qFormat/>
    <w:uiPriority w:val="99"/>
    <w:pPr>
      <w:spacing w:after="120"/>
    </w:pPr>
    <w:rPr>
      <w:rFonts w:ascii="Times New Roman" w:hAnsi="Times New Roman" w:eastAsia="宋体" w:cs="Times New Roman"/>
      <w:szCs w:val="20"/>
    </w:rPr>
  </w:style>
  <w:style w:type="paragraph" w:styleId="12">
    <w:name w:val="Body Text Indent"/>
    <w:basedOn w:val="1"/>
    <w:link w:val="52"/>
    <w:unhideWhenUsed/>
    <w:qFormat/>
    <w:uiPriority w:val="99"/>
    <w:pPr>
      <w:spacing w:after="120"/>
      <w:ind w:left="420" w:leftChars="200"/>
    </w:pPr>
    <w:rPr>
      <w:rFonts w:ascii="Times New Roman" w:hAnsi="Times New Roman" w:eastAsia="楷体_GB2312" w:cs="Times New Roman"/>
    </w:rPr>
  </w:style>
  <w:style w:type="paragraph" w:styleId="13">
    <w:name w:val="Plain Text"/>
    <w:basedOn w:val="1"/>
    <w:link w:val="53"/>
    <w:qFormat/>
    <w:uiPriority w:val="0"/>
    <w:rPr>
      <w:rFonts w:ascii="Calibri" w:hAnsi="Calibri" w:eastAsia="宋体" w:cs="Times New Roman"/>
      <w:sz w:val="28"/>
      <w:szCs w:val="20"/>
    </w:rPr>
  </w:style>
  <w:style w:type="paragraph" w:styleId="14">
    <w:name w:val="Date"/>
    <w:basedOn w:val="1"/>
    <w:next w:val="1"/>
    <w:link w:val="54"/>
    <w:uiPriority w:val="99"/>
    <w:pPr>
      <w:ind w:left="2500" w:leftChars="2500"/>
    </w:pPr>
    <w:rPr>
      <w:rFonts w:ascii="Times New Roman" w:hAnsi="Times New Roman" w:eastAsia="宋体" w:cs="Times New Roman"/>
      <w:szCs w:val="20"/>
    </w:rPr>
  </w:style>
  <w:style w:type="paragraph" w:styleId="15">
    <w:name w:val="Body Text Indent 2"/>
    <w:basedOn w:val="1"/>
    <w:link w:val="55"/>
    <w:qFormat/>
    <w:uiPriority w:val="0"/>
    <w:pPr>
      <w:spacing w:line="420" w:lineRule="exact"/>
      <w:ind w:firstLine="525"/>
    </w:pPr>
    <w:rPr>
      <w:rFonts w:ascii="宋体" w:hAnsi="Times New Roman" w:eastAsia="宋体" w:cs="Times New Roman"/>
      <w:szCs w:val="20"/>
    </w:rPr>
  </w:style>
  <w:style w:type="paragraph" w:styleId="16">
    <w:name w:val="Balloon Text"/>
    <w:basedOn w:val="1"/>
    <w:link w:val="56"/>
    <w:qFormat/>
    <w:uiPriority w:val="99"/>
    <w:rPr>
      <w:rFonts w:ascii="Times New Roman" w:hAnsi="Times New Roman" w:eastAsia="宋体" w:cs="Times New Roman"/>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rPr>
      <w:rFonts w:ascii="Times New Roman" w:hAnsi="Times New Roman" w:eastAsia="宋体" w:cs="Times New Roman"/>
      <w:szCs w:val="20"/>
    </w:rPr>
  </w:style>
  <w:style w:type="paragraph" w:styleId="20">
    <w:name w:val="Subtitle"/>
    <w:basedOn w:val="1"/>
    <w:next w:val="1"/>
    <w:link w:val="57"/>
    <w:qFormat/>
    <w:uiPriority w:val="11"/>
    <w:pPr>
      <w:spacing w:before="240" w:after="60" w:line="312" w:lineRule="auto"/>
      <w:jc w:val="center"/>
      <w:outlineLvl w:val="1"/>
    </w:pPr>
    <w:rPr>
      <w:rFonts w:ascii="Cambria" w:hAnsi="Cambria" w:eastAsia="楷体_GB2312" w:cs="Times New Roman"/>
      <w:b/>
      <w:bCs/>
      <w:kern w:val="28"/>
      <w:sz w:val="32"/>
      <w:szCs w:val="32"/>
    </w:rPr>
  </w:style>
  <w:style w:type="paragraph" w:styleId="21">
    <w:name w:val="Normal (Web)"/>
    <w:basedOn w:val="1"/>
    <w:qFormat/>
    <w:uiPriority w:val="99"/>
    <w:pPr>
      <w:widowControl/>
      <w:spacing w:before="100" w:beforeAutospacing="1" w:after="100" w:afterAutospacing="1"/>
      <w:jc w:val="left"/>
    </w:pPr>
    <w:rPr>
      <w:rFonts w:ascii="宋体" w:hAnsi="Times New Roman" w:eastAsia="宋体" w:cs="宋体"/>
      <w:kern w:val="0"/>
      <w:sz w:val="24"/>
      <w:szCs w:val="24"/>
    </w:rPr>
  </w:style>
  <w:style w:type="paragraph" w:styleId="22">
    <w:name w:val="annotation subject"/>
    <w:basedOn w:val="10"/>
    <w:next w:val="10"/>
    <w:link w:val="58"/>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vanish/>
    </w:rPr>
  </w:style>
  <w:style w:type="character" w:styleId="27">
    <w:name w:val="page number"/>
    <w:qFormat/>
    <w:uiPriority w:val="0"/>
  </w:style>
  <w:style w:type="character" w:styleId="28">
    <w:name w:val="FollowedHyperlink"/>
    <w:qFormat/>
    <w:uiPriority w:val="99"/>
    <w:rPr>
      <w:color w:val="000000"/>
      <w:u w:val="none"/>
    </w:rPr>
  </w:style>
  <w:style w:type="character" w:styleId="29">
    <w:name w:val="Emphasis"/>
    <w:qFormat/>
    <w:uiPriority w:val="0"/>
    <w:rPr>
      <w:b/>
      <w:bCs/>
    </w:rPr>
  </w:style>
  <w:style w:type="character" w:styleId="30">
    <w:name w:val="HTML Definition"/>
    <w:qFormat/>
    <w:uiPriority w:val="0"/>
  </w:style>
  <w:style w:type="character" w:styleId="31">
    <w:name w:val="HTML Typewriter"/>
    <w:uiPriority w:val="0"/>
    <w:rPr>
      <w:rFonts w:ascii="monospace" w:hAnsi="monospace" w:eastAsia="monospace" w:cs="monospace"/>
      <w:sz w:val="20"/>
      <w:lang w:bidi="ar-SA"/>
    </w:rPr>
  </w:style>
  <w:style w:type="character" w:styleId="32">
    <w:name w:val="HTML Acronym"/>
    <w:qFormat/>
    <w:uiPriority w:val="0"/>
  </w:style>
  <w:style w:type="character" w:styleId="33">
    <w:name w:val="HTML Variable"/>
    <w:qFormat/>
    <w:uiPriority w:val="0"/>
  </w:style>
  <w:style w:type="character" w:styleId="34">
    <w:name w:val="Hyperlink"/>
    <w:qFormat/>
    <w:uiPriority w:val="99"/>
    <w:rPr>
      <w:color w:val="000000"/>
      <w:u w:val="none"/>
    </w:rPr>
  </w:style>
  <w:style w:type="character" w:styleId="35">
    <w:name w:val="HTML Code"/>
    <w:qFormat/>
    <w:uiPriority w:val="0"/>
    <w:rPr>
      <w:rFonts w:ascii="monospace" w:hAnsi="monospace" w:eastAsia="monospace" w:cs="monospace"/>
      <w:sz w:val="20"/>
      <w:lang w:bidi="ar-SA"/>
    </w:rPr>
  </w:style>
  <w:style w:type="character" w:styleId="36">
    <w:name w:val="annotation reference"/>
    <w:unhideWhenUsed/>
    <w:qFormat/>
    <w:uiPriority w:val="99"/>
    <w:rPr>
      <w:sz w:val="21"/>
      <w:szCs w:val="21"/>
    </w:rPr>
  </w:style>
  <w:style w:type="character" w:styleId="37">
    <w:name w:val="HTML Cite"/>
    <w:qFormat/>
    <w:uiPriority w:val="0"/>
  </w:style>
  <w:style w:type="character" w:styleId="38">
    <w:name w:val="HTML Keyboard"/>
    <w:uiPriority w:val="0"/>
    <w:rPr>
      <w:rFonts w:ascii="monospace" w:hAnsi="monospace" w:eastAsia="monospace" w:cs="monospace"/>
      <w:sz w:val="20"/>
      <w:lang w:bidi="ar-SA"/>
    </w:rPr>
  </w:style>
  <w:style w:type="character" w:styleId="39">
    <w:name w:val="HTML Sample"/>
    <w:qFormat/>
    <w:uiPriority w:val="0"/>
    <w:rPr>
      <w:rFonts w:ascii="monospace" w:hAnsi="monospace" w:eastAsia="monospace" w:cs="monospace"/>
      <w:lang w:bidi="ar-SA"/>
    </w:rPr>
  </w:style>
  <w:style w:type="character" w:customStyle="1" w:styleId="40">
    <w:name w:val="页眉 Char"/>
    <w:basedOn w:val="25"/>
    <w:link w:val="18"/>
    <w:qFormat/>
    <w:uiPriority w:val="99"/>
    <w:rPr>
      <w:sz w:val="18"/>
      <w:szCs w:val="18"/>
    </w:rPr>
  </w:style>
  <w:style w:type="character" w:customStyle="1" w:styleId="41">
    <w:name w:val="页脚 Char"/>
    <w:basedOn w:val="25"/>
    <w:link w:val="17"/>
    <w:qFormat/>
    <w:uiPriority w:val="99"/>
    <w:rPr>
      <w:sz w:val="18"/>
      <w:szCs w:val="18"/>
    </w:rPr>
  </w:style>
  <w:style w:type="character" w:customStyle="1" w:styleId="42">
    <w:name w:val="标题 1 Char"/>
    <w:basedOn w:val="25"/>
    <w:link w:val="2"/>
    <w:uiPriority w:val="9"/>
    <w:rPr>
      <w:rFonts w:ascii="Times New Roman" w:hAnsi="Times New Roman" w:eastAsia="宋体" w:cs="Times New Roman"/>
      <w:b/>
      <w:bCs/>
      <w:kern w:val="44"/>
      <w:sz w:val="44"/>
      <w:szCs w:val="44"/>
    </w:rPr>
  </w:style>
  <w:style w:type="character" w:customStyle="1" w:styleId="43">
    <w:name w:val="标题 2 Char"/>
    <w:basedOn w:val="25"/>
    <w:link w:val="3"/>
    <w:qFormat/>
    <w:uiPriority w:val="0"/>
    <w:rPr>
      <w:rFonts w:ascii="Arial" w:hAnsi="Arial" w:eastAsia="宋体" w:cs="Times New Roman"/>
      <w:b/>
      <w:bCs/>
      <w:kern w:val="0"/>
      <w:sz w:val="32"/>
      <w:szCs w:val="44"/>
    </w:rPr>
  </w:style>
  <w:style w:type="character" w:customStyle="1" w:styleId="44">
    <w:name w:val="标题 3 Char"/>
    <w:basedOn w:val="25"/>
    <w:semiHidden/>
    <w:qFormat/>
    <w:uiPriority w:val="9"/>
    <w:rPr>
      <w:b/>
      <w:bCs/>
      <w:sz w:val="32"/>
      <w:szCs w:val="32"/>
    </w:rPr>
  </w:style>
  <w:style w:type="character" w:customStyle="1" w:styleId="45">
    <w:name w:val="标题 4 Char"/>
    <w:basedOn w:val="25"/>
    <w:link w:val="5"/>
    <w:qFormat/>
    <w:uiPriority w:val="0"/>
    <w:rPr>
      <w:rFonts w:ascii="Arial" w:hAnsi="Arial" w:eastAsia="黑体" w:cs="Times New Roman"/>
      <w:b/>
      <w:bCs/>
      <w:kern w:val="0"/>
      <w:sz w:val="28"/>
      <w:szCs w:val="28"/>
    </w:rPr>
  </w:style>
  <w:style w:type="character" w:customStyle="1" w:styleId="46">
    <w:name w:val="标题 7 Char"/>
    <w:basedOn w:val="25"/>
    <w:link w:val="7"/>
    <w:uiPriority w:val="0"/>
    <w:rPr>
      <w:rFonts w:ascii="Times New Roman" w:hAnsi="Times New Roman" w:eastAsia="宋体" w:cs="Times New Roman"/>
      <w:b/>
      <w:bCs/>
      <w:sz w:val="24"/>
      <w:szCs w:val="24"/>
    </w:rPr>
  </w:style>
  <w:style w:type="character" w:customStyle="1" w:styleId="47">
    <w:name w:val="正文文本 Char"/>
    <w:basedOn w:val="25"/>
    <w:link w:val="11"/>
    <w:qFormat/>
    <w:uiPriority w:val="99"/>
    <w:rPr>
      <w:rFonts w:ascii="Times New Roman" w:hAnsi="Times New Roman" w:eastAsia="宋体" w:cs="Times New Roman"/>
      <w:szCs w:val="20"/>
    </w:rPr>
  </w:style>
  <w:style w:type="character" w:customStyle="1" w:styleId="48">
    <w:name w:val="标题 3 Char1"/>
    <w:link w:val="4"/>
    <w:qFormat/>
    <w:uiPriority w:val="9"/>
    <w:rPr>
      <w:rFonts w:ascii="Times New Roman" w:hAnsi="Times New Roman" w:eastAsia="Cambria Math" w:cs="Times New Roman"/>
      <w:b/>
      <w:sz w:val="24"/>
      <w:szCs w:val="20"/>
    </w:rPr>
  </w:style>
  <w:style w:type="character" w:customStyle="1" w:styleId="49">
    <w:name w:val="正文缩进 Char"/>
    <w:link w:val="6"/>
    <w:qFormat/>
    <w:uiPriority w:val="0"/>
    <w:rPr>
      <w:rFonts w:ascii="Times New Roman" w:hAnsi="Times New Roman" w:eastAsia="宋体" w:cs="Times New Roman"/>
      <w:b/>
      <w:sz w:val="24"/>
      <w:szCs w:val="20"/>
    </w:rPr>
  </w:style>
  <w:style w:type="character" w:customStyle="1" w:styleId="50">
    <w:name w:val="批注文字 Char"/>
    <w:basedOn w:val="25"/>
    <w:link w:val="10"/>
    <w:qFormat/>
    <w:uiPriority w:val="99"/>
    <w:rPr>
      <w:rFonts w:ascii="Times New Roman" w:hAnsi="Times New Roman" w:eastAsia="楷体_GB2312" w:cs="Times New Roman"/>
    </w:rPr>
  </w:style>
  <w:style w:type="character" w:customStyle="1" w:styleId="51">
    <w:name w:val="正文文本缩进 Char"/>
    <w:basedOn w:val="25"/>
    <w:semiHidden/>
    <w:qFormat/>
    <w:uiPriority w:val="99"/>
  </w:style>
  <w:style w:type="character" w:customStyle="1" w:styleId="52">
    <w:name w:val="正文文本缩进 Char1"/>
    <w:link w:val="12"/>
    <w:qFormat/>
    <w:uiPriority w:val="99"/>
    <w:rPr>
      <w:rFonts w:ascii="Times New Roman" w:hAnsi="Times New Roman" w:eastAsia="楷体_GB2312" w:cs="Times New Roman"/>
    </w:rPr>
  </w:style>
  <w:style w:type="character" w:customStyle="1" w:styleId="53">
    <w:name w:val="纯文本 Char"/>
    <w:basedOn w:val="25"/>
    <w:link w:val="13"/>
    <w:qFormat/>
    <w:uiPriority w:val="0"/>
    <w:rPr>
      <w:rFonts w:ascii="Calibri" w:hAnsi="Calibri" w:eastAsia="宋体" w:cs="Times New Roman"/>
      <w:sz w:val="28"/>
      <w:szCs w:val="20"/>
    </w:rPr>
  </w:style>
  <w:style w:type="character" w:customStyle="1" w:styleId="54">
    <w:name w:val="日期 Char"/>
    <w:basedOn w:val="25"/>
    <w:link w:val="14"/>
    <w:qFormat/>
    <w:uiPriority w:val="99"/>
    <w:rPr>
      <w:rFonts w:ascii="Times New Roman" w:hAnsi="Times New Roman" w:eastAsia="宋体" w:cs="Times New Roman"/>
      <w:szCs w:val="20"/>
    </w:rPr>
  </w:style>
  <w:style w:type="character" w:customStyle="1" w:styleId="55">
    <w:name w:val="正文文本缩进 2 Char"/>
    <w:basedOn w:val="25"/>
    <w:link w:val="15"/>
    <w:uiPriority w:val="0"/>
    <w:rPr>
      <w:rFonts w:ascii="宋体" w:hAnsi="Times New Roman" w:eastAsia="宋体" w:cs="Times New Roman"/>
      <w:szCs w:val="20"/>
    </w:rPr>
  </w:style>
  <w:style w:type="character" w:customStyle="1" w:styleId="56">
    <w:name w:val="批注框文本 Char"/>
    <w:basedOn w:val="25"/>
    <w:link w:val="16"/>
    <w:qFormat/>
    <w:uiPriority w:val="99"/>
    <w:rPr>
      <w:rFonts w:ascii="Times New Roman" w:hAnsi="Times New Roman" w:eastAsia="宋体" w:cs="Times New Roman"/>
      <w:sz w:val="18"/>
      <w:szCs w:val="18"/>
    </w:rPr>
  </w:style>
  <w:style w:type="character" w:customStyle="1" w:styleId="57">
    <w:name w:val="副标题 Char"/>
    <w:basedOn w:val="25"/>
    <w:link w:val="20"/>
    <w:qFormat/>
    <w:uiPriority w:val="11"/>
    <w:rPr>
      <w:rFonts w:ascii="Cambria" w:hAnsi="Cambria" w:eastAsia="楷体_GB2312" w:cs="Times New Roman"/>
      <w:b/>
      <w:bCs/>
      <w:kern w:val="28"/>
      <w:sz w:val="32"/>
      <w:szCs w:val="32"/>
    </w:rPr>
  </w:style>
  <w:style w:type="character" w:customStyle="1" w:styleId="58">
    <w:name w:val="批注主题 Char"/>
    <w:basedOn w:val="50"/>
    <w:link w:val="22"/>
    <w:qFormat/>
    <w:uiPriority w:val="99"/>
    <w:rPr>
      <w:rFonts w:ascii="Times New Roman" w:hAnsi="Times New Roman" w:eastAsia="楷体_GB2312" w:cs="Times New Roman"/>
      <w:b/>
      <w:bCs/>
    </w:rPr>
  </w:style>
  <w:style w:type="paragraph" w:styleId="59">
    <w:name w:val="List Paragraph"/>
    <w:basedOn w:val="1"/>
    <w:qFormat/>
    <w:uiPriority w:val="0"/>
    <w:pPr>
      <w:ind w:firstLine="200" w:firstLineChars="200"/>
    </w:pPr>
    <w:rPr>
      <w:rFonts w:ascii="Times New Roman" w:hAnsi="Times New Roman" w:eastAsia="宋体" w:cs="Times New Roman"/>
      <w:szCs w:val="24"/>
    </w:rPr>
  </w:style>
  <w:style w:type="paragraph" w:customStyle="1" w:styleId="60">
    <w:name w:val="Table Paragraph"/>
    <w:basedOn w:val="1"/>
    <w:qFormat/>
    <w:uiPriority w:val="0"/>
    <w:rPr>
      <w:rFonts w:ascii="Times New Roman" w:hAnsi="Times New Roman" w:eastAsia="宋体" w:cs="Times New Roman"/>
      <w:szCs w:val="20"/>
    </w:rPr>
  </w:style>
  <w:style w:type="paragraph" w:customStyle="1" w:styleId="61">
    <w:name w:val="样式 标题 1 + 非加粗 黑色"/>
    <w:basedOn w:val="2"/>
    <w:qFormat/>
    <w:uiPriority w:val="0"/>
    <w:pPr>
      <w:jc w:val="center"/>
    </w:pPr>
    <w:rPr>
      <w:bCs w:val="0"/>
      <w:color w:val="000000"/>
      <w:sz w:val="48"/>
    </w:rPr>
  </w:style>
  <w:style w:type="paragraph" w:customStyle="1" w:styleId="62">
    <w:name w:val="正文_1"/>
    <w:qFormat/>
    <w:uiPriority w:val="0"/>
    <w:pPr>
      <w:widowControl w:val="0"/>
      <w:jc w:val="both"/>
    </w:pPr>
    <w:rPr>
      <w:rFonts w:ascii="等线" w:hAnsi="等线" w:eastAsia="宋体" w:cs="Times New Roman"/>
      <w:kern w:val="2"/>
      <w:sz w:val="21"/>
      <w:szCs w:val="22"/>
      <w:lang w:val="en-US" w:eastAsia="zh-CN" w:bidi="ar-SA"/>
    </w:rPr>
  </w:style>
  <w:style w:type="paragraph" w:customStyle="1" w:styleId="63">
    <w:name w:val="样式 标题 2 + 黑色 行距: 1.5 倍行距"/>
    <w:basedOn w:val="3"/>
    <w:uiPriority w:val="0"/>
    <w:pPr>
      <w:spacing w:line="360" w:lineRule="auto"/>
    </w:pPr>
    <w:rPr>
      <w:rFonts w:ascii="等线 Light" w:hAnsi="等线 Light" w:eastAsia="Calibri" w:cs="Calibri"/>
      <w:color w:val="000000"/>
      <w:szCs w:val="20"/>
    </w:rPr>
  </w:style>
  <w:style w:type="paragraph" w:customStyle="1" w:styleId="64">
    <w:name w:val="Blockquote_1"/>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65">
    <w:name w:val="Default"/>
    <w:qFormat/>
    <w:uiPriority w:val="99"/>
    <w:pPr>
      <w:widowControl w:val="0"/>
      <w:autoSpaceDE w:val="0"/>
      <w:autoSpaceDN w:val="0"/>
      <w:adjustRightInd w:val="0"/>
    </w:pPr>
    <w:rPr>
      <w:rFonts w:ascii="Cambria Math" w:hAnsi="Cambria Math" w:eastAsia="Cambria Math" w:cs="Cambria Math"/>
      <w:color w:val="000000"/>
      <w:sz w:val="24"/>
      <w:szCs w:val="24"/>
      <w:lang w:val="en-US" w:eastAsia="zh-CN" w:bidi="ar-SA"/>
    </w:rPr>
  </w:style>
  <w:style w:type="paragraph" w:customStyle="1" w:styleId="66">
    <w:name w:val="标题 2 + 黑色 行距: 1.5 倍行距"/>
    <w:basedOn w:val="3"/>
    <w:qFormat/>
    <w:uiPriority w:val="0"/>
    <w:pPr>
      <w:spacing w:line="360" w:lineRule="auto"/>
    </w:pPr>
    <w:rPr>
      <w:rFonts w:ascii="等线 Light" w:hAnsi="等线 Light" w:eastAsia="Calibri" w:cs="Calibri"/>
      <w:bCs w:val="0"/>
      <w:color w:val="000000"/>
      <w:szCs w:val="20"/>
    </w:rPr>
  </w:style>
  <w:style w:type="paragraph" w:customStyle="1" w:styleId="67">
    <w:name w:val="纯文本1"/>
    <w:basedOn w:val="1"/>
    <w:qFormat/>
    <w:uiPriority w:val="0"/>
    <w:rPr>
      <w:rFonts w:ascii="Calibri" w:hAnsi="Calibri" w:eastAsia="宋体" w:cs="Times New Roman"/>
      <w:sz w:val="28"/>
      <w:szCs w:val="20"/>
    </w:rPr>
  </w:style>
  <w:style w:type="paragraph" w:customStyle="1" w:styleId="68">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69">
    <w:name w:val="style41"/>
    <w:qFormat/>
    <w:uiPriority w:val="0"/>
    <w:rPr>
      <w:color w:val="0B50A4"/>
    </w:rPr>
  </w:style>
  <w:style w:type="character" w:customStyle="1" w:styleId="70">
    <w:name w:val="标题 1 字符"/>
    <w:qFormat/>
    <w:uiPriority w:val="9"/>
    <w:rPr>
      <w:b/>
      <w:bCs/>
      <w:kern w:val="44"/>
      <w:sz w:val="44"/>
      <w:szCs w:val="44"/>
    </w:rPr>
  </w:style>
  <w:style w:type="character" w:customStyle="1" w:styleId="71">
    <w:name w:val="列出段落 Char"/>
    <w:link w:val="72"/>
    <w:qFormat/>
    <w:locked/>
    <w:uiPriority w:val="0"/>
    <w:rPr>
      <w:sz w:val="24"/>
      <w:szCs w:val="24"/>
      <w:lang w:eastAsia="en-US" w:bidi="en-US"/>
    </w:rPr>
  </w:style>
  <w:style w:type="paragraph" w:customStyle="1" w:styleId="72">
    <w:name w:val="列出段落1"/>
    <w:basedOn w:val="1"/>
    <w:link w:val="71"/>
    <w:qFormat/>
    <w:uiPriority w:val="0"/>
    <w:pPr>
      <w:widowControl/>
      <w:ind w:left="720"/>
      <w:contextualSpacing/>
      <w:jc w:val="left"/>
    </w:pPr>
    <w:rPr>
      <w:sz w:val="24"/>
      <w:szCs w:val="24"/>
      <w:lang w:eastAsia="en-US" w:bidi="en-US"/>
    </w:rPr>
  </w:style>
  <w:style w:type="character" w:customStyle="1" w:styleId="73">
    <w:name w:val="font71"/>
    <w:qFormat/>
    <w:uiPriority w:val="0"/>
    <w:rPr>
      <w:rFonts w:hint="eastAsia" w:ascii="仿宋" w:hAnsi="仿宋" w:eastAsia="仿宋" w:cs="仿宋"/>
      <w:color w:val="000000"/>
      <w:kern w:val="0"/>
      <w:sz w:val="22"/>
      <w:szCs w:val="22"/>
      <w:u w:val="none"/>
      <w:lang w:eastAsia="en-US"/>
    </w:rPr>
  </w:style>
  <w:style w:type="character" w:customStyle="1" w:styleId="74">
    <w:name w:val="书籍标题1"/>
    <w:qFormat/>
    <w:uiPriority w:val="33"/>
    <w:rPr>
      <w:b/>
      <w:bCs/>
      <w:smallCaps/>
      <w:spacing w:val="5"/>
    </w:rPr>
  </w:style>
  <w:style w:type="character" w:customStyle="1" w:styleId="75">
    <w:name w:val="纯文本 Char1"/>
    <w:uiPriority w:val="0"/>
    <w:rPr>
      <w:rFonts w:ascii="宋体" w:hAnsi="Courier New" w:eastAsia="宋体"/>
    </w:rPr>
  </w:style>
  <w:style w:type="character" w:customStyle="1" w:styleId="76">
    <w:name w:val="mh-map_new-info"/>
    <w:uiPriority w:val="0"/>
  </w:style>
  <w:style w:type="character" w:customStyle="1" w:styleId="77">
    <w:name w:val="批注文字 Char1"/>
    <w:qFormat/>
    <w:uiPriority w:val="0"/>
    <w:rPr>
      <w:rFonts w:eastAsia="宋体"/>
      <w:kern w:val="2"/>
      <w:sz w:val="21"/>
    </w:rPr>
  </w:style>
  <w:style w:type="character" w:customStyle="1" w:styleId="78">
    <w:name w:val="正文文本缩进 Char2"/>
    <w:qFormat/>
    <w:uiPriority w:val="0"/>
    <w:rPr>
      <w:rFonts w:eastAsia="宋体"/>
      <w:kern w:val="2"/>
      <w:sz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批注主题 Char1"/>
    <w:uiPriority w:val="0"/>
    <w:rPr>
      <w:rFonts w:eastAsia="宋体"/>
      <w:b/>
      <w:bCs/>
      <w:kern w:val="2"/>
      <w:sz w:val="21"/>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82">
    <w:name w:val="副标题 Char1"/>
    <w:uiPriority w:val="0"/>
    <w:rPr>
      <w:rFonts w:ascii="Cambria" w:hAnsi="Cambria" w:eastAsia="宋体" w:cs="Times New Roman"/>
      <w:b/>
      <w:bCs/>
      <w:kern w:val="28"/>
      <w:sz w:val="32"/>
      <w:szCs w:val="32"/>
    </w:rPr>
  </w:style>
  <w:style w:type="paragraph" w:customStyle="1" w:styleId="83">
    <w:name w:val="_Style 2"/>
    <w:qFormat/>
    <w:uiPriority w:val="0"/>
    <w:rPr>
      <w:rFonts w:ascii="Times New Roman" w:hAnsi="Times New Roman" w:eastAsia="宋体" w:cs="Times New Roman"/>
      <w:sz w:val="22"/>
      <w:szCs w:val="22"/>
      <w:lang w:val="en-US" w:eastAsia="zh-CN" w:bidi="ar-SA"/>
    </w:rPr>
  </w:style>
  <w:style w:type="paragraph" w:customStyle="1" w:styleId="8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85">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86">
    <w:name w:val="font21"/>
    <w:qFormat/>
    <w:uiPriority w:val="0"/>
    <w:rPr>
      <w:rFonts w:hint="eastAsia" w:ascii="宋体" w:hAnsi="宋体" w:eastAsia="宋体" w:cs="宋体"/>
      <w:color w:val="000000"/>
      <w:sz w:val="18"/>
      <w:szCs w:val="18"/>
      <w:u w:val="none"/>
    </w:rPr>
  </w:style>
  <w:style w:type="character" w:customStyle="1" w:styleId="87">
    <w:name w:val="font31"/>
    <w:qFormat/>
    <w:uiPriority w:val="0"/>
    <w:rPr>
      <w:rFonts w:hint="eastAsia" w:ascii="宋体" w:hAnsi="宋体" w:eastAsia="宋体" w:cs="宋体"/>
      <w:b/>
      <w:color w:val="000000"/>
      <w:sz w:val="20"/>
      <w:szCs w:val="20"/>
      <w:u w:val="none"/>
    </w:rPr>
  </w:style>
  <w:style w:type="paragraph" w:customStyle="1" w:styleId="88">
    <w:name w:val="列出段落2"/>
    <w:basedOn w:val="1"/>
    <w:qFormat/>
    <w:uiPriority w:val="0"/>
    <w:pPr>
      <w:widowControl/>
      <w:ind w:firstLine="420" w:firstLineChars="200"/>
      <w:jc w:val="left"/>
    </w:pPr>
    <w:rPr>
      <w:rFonts w:ascii="Calibri" w:hAnsi="Calibri" w:eastAsia="宋体" w:cs="Times New Roman"/>
      <w:kern w:val="0"/>
      <w:sz w:val="24"/>
      <w:szCs w:val="24"/>
      <w:lang w:eastAsia="en-US"/>
    </w:rPr>
  </w:style>
  <w:style w:type="paragraph" w:customStyle="1" w:styleId="89">
    <w:name w:val="正文1"/>
    <w:qFormat/>
    <w:uiPriority w:val="99"/>
    <w:pPr>
      <w:widowControl w:val="0"/>
      <w:adjustRightInd w:val="0"/>
      <w:spacing w:line="312" w:lineRule="atLeast"/>
      <w:jc w:val="both"/>
    </w:pPr>
    <w:rPr>
      <w:rFonts w:ascii="宋体" w:hAnsi="Calibri" w:eastAsia="宋体" w:cs="宋体"/>
      <w:sz w:val="34"/>
      <w:szCs w:val="34"/>
      <w:lang w:val="en-US" w:eastAsia="zh-CN" w:bidi="ar-SA"/>
    </w:rPr>
  </w:style>
  <w:style w:type="character" w:customStyle="1" w:styleId="90">
    <w:name w:val="页脚 字符"/>
    <w:qFormat/>
    <w:uiPriority w:val="99"/>
    <w:rPr>
      <w:rFonts w:ascii="Calibri" w:hAnsi="Calibri" w:eastAsia="宋体" w:cs="Times New Roman"/>
      <w:sz w:val="18"/>
      <w:szCs w:val="18"/>
    </w:rPr>
  </w:style>
  <w:style w:type="paragraph" w:customStyle="1" w:styleId="91">
    <w:name w:val="p0"/>
    <w:basedOn w:val="1"/>
    <w:qFormat/>
    <w:uiPriority w:val="0"/>
    <w:pPr>
      <w:widowControl/>
      <w:snapToGrid w:val="0"/>
      <w:jc w:val="left"/>
    </w:pPr>
    <w:rPr>
      <w:rFonts w:ascii="宋体" w:hAnsi="宋体" w:eastAsia="楷体" w:cs="宋体"/>
      <w:kern w:val="0"/>
      <w:sz w:val="20"/>
      <w:szCs w:val="20"/>
    </w:rPr>
  </w:style>
  <w:style w:type="paragraph" w:customStyle="1" w:styleId="92">
    <w:name w:val="列出段落3"/>
    <w:basedOn w:val="1"/>
    <w:qFormat/>
    <w:uiPriority w:val="0"/>
    <w:pPr>
      <w:ind w:firstLine="420" w:firstLineChars="200"/>
    </w:pPr>
    <w:rPr>
      <w:rFonts w:ascii="Times New Roman" w:hAnsi="Times New Roman" w:eastAsia="宋体" w:cs="Times New Roman"/>
      <w:szCs w:val="24"/>
    </w:rPr>
  </w:style>
  <w:style w:type="character" w:customStyle="1" w:styleId="93">
    <w:name w:val="Char Char23"/>
    <w:qFormat/>
    <w:uiPriority w:val="0"/>
    <w:rPr>
      <w:rFonts w:eastAsia="宋体"/>
      <w:b/>
      <w:bCs/>
      <w:kern w:val="44"/>
      <w:sz w:val="32"/>
      <w:szCs w:val="44"/>
      <w:lang w:val="en-US" w:eastAsia="zh-CN" w:bidi="ar-SA"/>
    </w:rPr>
  </w:style>
  <w:style w:type="paragraph" w:customStyle="1" w:styleId="94">
    <w:name w:val="xl65"/>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9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100">
    <w:name w:val="xl71"/>
    <w:basedOn w:val="1"/>
    <w:qFormat/>
    <w:uiPriority w:val="0"/>
    <w:pPr>
      <w:widowControl/>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3947</Words>
  <Characters>22500</Characters>
  <Lines>187</Lines>
  <Paragraphs>52</Paragraphs>
  <TotalTime>33</TotalTime>
  <ScaleCrop>false</ScaleCrop>
  <LinksUpToDate>false</LinksUpToDate>
  <CharactersWithSpaces>26395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2025-04-17T07:34:00Z</dcterms:created>
  <dc:creator>微软用户</dc:creator>
  <cp:lastModifiedBy>游侠小弟</cp:lastModifiedBy>
  <dcterms:modified xsi:type="dcterms:W3CDTF">2025-05-15T01:48:52Z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eyJoZGlkIjoiNDdjZjU1YjA0OWFjMjk0ZmVkYzQxMzJkYWYyNzE2NzQiLCJ1c2VySWQiOiIzNzEwNjYyMTQifQ==</vt:lpwstr>
  </property>
  <property fmtid="{D5CDD505-2E9C-101B-9397-08002B2CF9AE}" pid="3" name="KSOProductBuildVer">
    <vt:lpwstr>2052-11.1.0.9740</vt:lpwstr>
  </property>
  <property fmtid="{D5CDD505-2E9C-101B-9397-08002B2CF9AE}" pid="4" name="ICV">
    <vt:lpwstr>FC6B6DEB97EE411E8FB3EC89DA238CC9_12</vt:lpwstr>
  </property>
</Properties>
</file>