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00" w:lineRule="auto"/>
        <w:rPr>
          <w:rFonts w:ascii="华文细黑" w:hAnsi="Times New Roman" w:eastAsia="华文细黑" w:cs="Times New Roman"/>
          <w:b/>
          <w:bCs/>
          <w:sz w:val="36"/>
          <w:szCs w:val="36"/>
        </w:rPr>
      </w:pPr>
      <w:bookmarkStart w:id="227" w:name="_GoBack"/>
      <w:bookmarkEnd w:id="227"/>
    </w:p>
    <w:p>
      <w:pPr>
        <w:autoSpaceDE w:val="0"/>
        <w:autoSpaceDN w:val="0"/>
        <w:adjustRightInd w:val="0"/>
        <w:spacing w:line="360" w:lineRule="auto"/>
        <w:jc w:val="center"/>
        <w:rPr>
          <w:rFonts w:ascii="宋体" w:hAnsi="Cambria Math" w:eastAsia="宋体" w:cs="宋体"/>
          <w:b/>
          <w:kern w:val="0"/>
          <w:sz w:val="36"/>
          <w:szCs w:val="36"/>
        </w:rPr>
      </w:pPr>
      <w:r>
        <w:rPr>
          <w:rFonts w:hint="eastAsia" w:ascii="宋体" w:hAnsi="Cambria Math" w:eastAsia="宋体" w:cs="宋体"/>
          <w:b/>
          <w:kern w:val="0"/>
          <w:sz w:val="36"/>
          <w:szCs w:val="36"/>
        </w:rPr>
        <w:t>防火门、防火窗采购及安装项目</w:t>
      </w:r>
    </w:p>
    <w:p>
      <w:pPr>
        <w:autoSpaceDE w:val="0"/>
        <w:autoSpaceDN w:val="0"/>
        <w:adjustRightInd w:val="0"/>
        <w:spacing w:line="360" w:lineRule="auto"/>
        <w:jc w:val="center"/>
        <w:rPr>
          <w:rFonts w:ascii="宋体" w:hAnsi="Cambria Math" w:eastAsia="宋体" w:cs="宋体"/>
          <w:b/>
          <w:kern w:val="0"/>
          <w:sz w:val="36"/>
          <w:szCs w:val="36"/>
        </w:rPr>
      </w:pPr>
    </w:p>
    <w:p>
      <w:pPr>
        <w:autoSpaceDE w:val="0"/>
        <w:autoSpaceDN w:val="0"/>
        <w:adjustRightInd w:val="0"/>
        <w:spacing w:line="360" w:lineRule="auto"/>
        <w:jc w:val="center"/>
        <w:rPr>
          <w:rFonts w:ascii="宋体" w:hAnsi="Cambria Math" w:eastAsia="宋体" w:cs="宋体"/>
          <w:b/>
          <w:kern w:val="0"/>
          <w:sz w:val="36"/>
          <w:szCs w:val="36"/>
        </w:rPr>
      </w:pPr>
    </w:p>
    <w:p>
      <w:pPr>
        <w:autoSpaceDE w:val="0"/>
        <w:autoSpaceDN w:val="0"/>
        <w:adjustRightInd w:val="0"/>
        <w:spacing w:line="360" w:lineRule="auto"/>
        <w:ind w:firstLine="3654" w:firstLineChars="700"/>
        <w:jc w:val="left"/>
        <w:rPr>
          <w:rFonts w:ascii="楷体_GB2312" w:hAnsi="Cambria Math" w:eastAsia="楷体_GB2312" w:cs="Cambria Math"/>
          <w:b/>
          <w:kern w:val="0"/>
          <w:sz w:val="52"/>
          <w:szCs w:val="52"/>
        </w:rPr>
      </w:pPr>
      <w:r>
        <w:rPr>
          <w:rFonts w:hint="eastAsia" w:ascii="宋体" w:hAnsi="Cambria Math" w:eastAsia="宋体" w:cs="宋体"/>
          <w:b/>
          <w:kern w:val="0"/>
          <w:sz w:val="52"/>
          <w:szCs w:val="52"/>
        </w:rPr>
        <w:t>招标文件</w:t>
      </w:r>
    </w:p>
    <w:p>
      <w:pPr>
        <w:jc w:val="center"/>
        <w:rPr>
          <w:rFonts w:ascii="Times New Roman" w:hAnsi="Times New Roman" w:eastAsia="宋体" w:cs="Times New Roman"/>
          <w:sz w:val="28"/>
          <w:szCs w:val="20"/>
        </w:rPr>
      </w:pPr>
    </w:p>
    <w:p>
      <w:pPr>
        <w:jc w:val="center"/>
        <w:rPr>
          <w:rFonts w:ascii="楷体_GB2312" w:hAnsi="楷体_GB2312" w:eastAsia="宋体" w:cs="Times New Roman"/>
          <w:b/>
          <w:sz w:val="32"/>
          <w:szCs w:val="32"/>
        </w:rPr>
      </w:pPr>
    </w:p>
    <w:p>
      <w:pPr>
        <w:jc w:val="center"/>
        <w:rPr>
          <w:rFonts w:ascii="楷体_GB2312" w:hAnsi="楷体_GB2312" w:eastAsia="宋体" w:cs="Times New Roman"/>
          <w:b/>
          <w:sz w:val="32"/>
          <w:szCs w:val="32"/>
        </w:rPr>
      </w:pPr>
      <w:r>
        <w:rPr>
          <w:rFonts w:hint="eastAsia" w:ascii="楷体_GB2312" w:hAnsi="楷体_GB2312" w:eastAsia="宋体" w:cs="Times New Roman"/>
          <w:b/>
          <w:sz w:val="32"/>
          <w:szCs w:val="32"/>
        </w:rPr>
        <w:t>标段编号：YZXEPT202506003001</w:t>
      </w:r>
    </w:p>
    <w:p>
      <w:pPr>
        <w:jc w:val="center"/>
        <w:rPr>
          <w:rFonts w:ascii="楷体_GB2312" w:hAnsi="楷体_GB2312" w:eastAsia="宋体" w:cs="Times New Roman"/>
          <w:sz w:val="28"/>
          <w:szCs w:val="20"/>
        </w:rPr>
      </w:pPr>
    </w:p>
    <w:p>
      <w:pPr>
        <w:jc w:val="center"/>
        <w:rPr>
          <w:rFonts w:ascii="楷体_GB2312" w:hAnsi="楷体_GB2312" w:eastAsia="宋体" w:cs="Times New Roman"/>
          <w:sz w:val="28"/>
          <w:szCs w:val="20"/>
        </w:rPr>
      </w:pPr>
    </w:p>
    <w:p>
      <w:pPr>
        <w:jc w:val="center"/>
        <w:rPr>
          <w:rFonts w:ascii="楷体_GB2312" w:hAnsi="楷体_GB2312" w:eastAsia="宋体" w:cs="Times New Roman"/>
          <w:sz w:val="28"/>
          <w:szCs w:val="20"/>
        </w:rPr>
      </w:pPr>
    </w:p>
    <w:p>
      <w:pPr>
        <w:spacing w:after="120"/>
        <w:rPr>
          <w:rFonts w:ascii="Times New Roman" w:hAnsi="Times New Roman" w:eastAsia="宋体" w:cs="Times New Roman"/>
          <w:szCs w:val="20"/>
        </w:rPr>
      </w:pPr>
    </w:p>
    <w:p>
      <w:pPr>
        <w:jc w:val="center"/>
        <w:rPr>
          <w:rFonts w:ascii="楷体_GB2312" w:hAnsi="楷体_GB2312" w:eastAsia="宋体" w:cs="Times New Roman"/>
          <w:sz w:val="28"/>
          <w:szCs w:val="20"/>
        </w:rPr>
      </w:pPr>
    </w:p>
    <w:p>
      <w:pPr>
        <w:spacing w:after="120"/>
        <w:rPr>
          <w:rFonts w:ascii="Times New Roman" w:hAnsi="Times New Roman" w:eastAsia="宋体" w:cs="Times New Roman"/>
          <w:szCs w:val="20"/>
        </w:rPr>
      </w:pPr>
    </w:p>
    <w:p>
      <w:pPr>
        <w:jc w:val="center"/>
        <w:rPr>
          <w:rFonts w:ascii="楷体_GB2312" w:hAnsi="楷体_GB2312" w:eastAsia="宋体" w:cs="Times New Roman"/>
          <w:sz w:val="28"/>
          <w:szCs w:val="20"/>
        </w:rPr>
      </w:pPr>
    </w:p>
    <w:p>
      <w:pPr>
        <w:spacing w:after="120"/>
        <w:rPr>
          <w:rFonts w:ascii="楷体_GB2312" w:hAnsi="楷体_GB2312" w:eastAsia="宋体" w:cs="Times New Roman"/>
          <w:sz w:val="28"/>
          <w:szCs w:val="20"/>
        </w:rPr>
      </w:pPr>
    </w:p>
    <w:p>
      <w:pPr>
        <w:spacing w:after="120"/>
        <w:rPr>
          <w:rFonts w:ascii="楷体_GB2312" w:hAnsi="楷体_GB2312" w:eastAsia="宋体" w:cs="Times New Roman"/>
          <w:sz w:val="28"/>
          <w:szCs w:val="20"/>
        </w:rPr>
      </w:pPr>
    </w:p>
    <w:p>
      <w:pPr>
        <w:spacing w:after="120"/>
        <w:rPr>
          <w:rFonts w:ascii="楷体_GB2312" w:hAnsi="楷体_GB2312" w:eastAsia="宋体" w:cs="Times New Roman"/>
          <w:sz w:val="28"/>
          <w:szCs w:val="20"/>
        </w:rPr>
      </w:pPr>
    </w:p>
    <w:p>
      <w:pPr>
        <w:spacing w:after="120"/>
        <w:rPr>
          <w:rFonts w:ascii="楷体_GB2312" w:hAnsi="楷体_GB2312" w:eastAsia="宋体" w:cs="Times New Roman"/>
          <w:sz w:val="28"/>
          <w:szCs w:val="20"/>
        </w:rPr>
      </w:pPr>
    </w:p>
    <w:p>
      <w:pPr>
        <w:spacing w:after="120"/>
        <w:rPr>
          <w:rFonts w:ascii="Times New Roman" w:hAnsi="Times New Roman" w:eastAsia="宋体" w:cs="Times New Roman"/>
          <w:szCs w:val="20"/>
        </w:rPr>
      </w:pPr>
    </w:p>
    <w:p>
      <w:pPr>
        <w:snapToGrid w:val="0"/>
        <w:spacing w:line="300" w:lineRule="auto"/>
        <w:ind w:firstLine="987" w:firstLineChars="346"/>
        <w:jc w:val="center"/>
        <w:rPr>
          <w:rFonts w:ascii="楷体_GB2312" w:hAnsi="楷体_GB2312" w:eastAsia="宋体" w:cs="楷体_GB2312"/>
          <w:b/>
          <w:spacing w:val="-8"/>
          <w:kern w:val="0"/>
          <w:sz w:val="30"/>
          <w:szCs w:val="30"/>
        </w:rPr>
      </w:pPr>
    </w:p>
    <w:p>
      <w:pPr>
        <w:snapToGrid w:val="0"/>
        <w:spacing w:line="360" w:lineRule="auto"/>
        <w:jc w:val="center"/>
        <w:rPr>
          <w:rFonts w:ascii="宋体" w:hAnsi="Times New Roman" w:eastAsia="宋体" w:cs="宋体"/>
          <w:b/>
          <w:spacing w:val="-8"/>
          <w:kern w:val="0"/>
          <w:sz w:val="32"/>
          <w:szCs w:val="32"/>
        </w:rPr>
      </w:pPr>
      <w:r>
        <w:rPr>
          <w:rFonts w:hint="eastAsia" w:ascii="宋体" w:hAnsi="Times New Roman" w:eastAsia="宋体" w:cs="宋体"/>
          <w:b/>
          <w:spacing w:val="-8"/>
          <w:kern w:val="0"/>
          <w:sz w:val="32"/>
          <w:szCs w:val="32"/>
        </w:rPr>
        <w:t>招标人：</w:t>
      </w:r>
      <w:r>
        <w:rPr>
          <w:rFonts w:hint="eastAsia" w:ascii="宋体" w:hAnsi="Times New Roman" w:eastAsia="宋体" w:cs="宋体"/>
          <w:b/>
          <w:bCs/>
          <w:sz w:val="32"/>
          <w:szCs w:val="32"/>
        </w:rPr>
        <w:t>仪征市博润建材商贸有限公司</w:t>
      </w:r>
    </w:p>
    <w:p>
      <w:pPr>
        <w:snapToGrid w:val="0"/>
        <w:spacing w:line="360" w:lineRule="auto"/>
        <w:jc w:val="center"/>
        <w:rPr>
          <w:rFonts w:ascii="宋体" w:hAnsi="Times New Roman" w:eastAsia="宋体" w:cs="宋体"/>
          <w:b/>
          <w:bCs/>
          <w:spacing w:val="-8"/>
          <w:kern w:val="0"/>
          <w:sz w:val="32"/>
          <w:szCs w:val="32"/>
        </w:rPr>
      </w:pPr>
      <w:r>
        <w:rPr>
          <w:rFonts w:hint="eastAsia" w:ascii="宋体" w:hAnsi="Times New Roman" w:eastAsia="宋体" w:cs="宋体"/>
          <w:b/>
          <w:spacing w:val="-8"/>
          <w:kern w:val="0"/>
          <w:sz w:val="32"/>
          <w:szCs w:val="32"/>
        </w:rPr>
        <w:t>招标代理单位（章）：</w:t>
      </w:r>
      <w:r>
        <w:rPr>
          <w:rFonts w:hint="eastAsia" w:ascii="宋体" w:hAnsi="Times New Roman" w:eastAsia="宋体" w:cs="宋体"/>
          <w:b/>
          <w:bCs/>
          <w:sz w:val="32"/>
          <w:szCs w:val="32"/>
        </w:rPr>
        <w:t>扬州市聚力项目管理有限公司</w:t>
      </w:r>
    </w:p>
    <w:p>
      <w:pPr>
        <w:snapToGrid w:val="0"/>
        <w:spacing w:line="360" w:lineRule="auto"/>
        <w:ind w:firstLine="1832" w:firstLineChars="600"/>
        <w:rPr>
          <w:rFonts w:ascii="宋体" w:hAnsi="Times New Roman" w:eastAsia="宋体" w:cs="宋体"/>
          <w:b/>
          <w:spacing w:val="-8"/>
          <w:kern w:val="0"/>
          <w:sz w:val="30"/>
          <w:szCs w:val="30"/>
        </w:rPr>
        <w:sectPr>
          <w:footerReference r:id="rId3" w:type="default"/>
          <w:footerReference r:id="rId4" w:type="even"/>
          <w:pgSz w:w="11906" w:h="16838"/>
          <w:pgMar w:top="1361" w:right="1587" w:bottom="1361" w:left="1587" w:header="851" w:footer="624" w:gutter="0"/>
          <w:pgNumType w:start="1"/>
          <w:cols w:space="720" w:num="1"/>
          <w:docGrid w:linePitch="312" w:charSpace="0"/>
        </w:sectPr>
      </w:pPr>
      <w:r>
        <w:rPr>
          <w:rFonts w:hint="eastAsia" w:ascii="宋体" w:hAnsi="Times New Roman" w:eastAsia="宋体" w:cs="宋体"/>
          <w:b/>
          <w:spacing w:val="-8"/>
          <w:kern w:val="0"/>
          <w:sz w:val="32"/>
          <w:szCs w:val="32"/>
        </w:rPr>
        <w:t xml:space="preserve">招标时间： 2025年 </w:t>
      </w:r>
      <w:r>
        <w:rPr>
          <w:rFonts w:hint="eastAsia" w:ascii="宋体" w:hAnsi="Times New Roman" w:eastAsia="宋体" w:cs="宋体"/>
          <w:b/>
          <w:spacing w:val="-8"/>
          <w:kern w:val="0"/>
          <w:sz w:val="32"/>
          <w:szCs w:val="32"/>
          <w:u w:val="single"/>
        </w:rPr>
        <w:t xml:space="preserve"> 6 </w:t>
      </w:r>
      <w:r>
        <w:rPr>
          <w:rFonts w:hint="eastAsia" w:ascii="宋体" w:hAnsi="Times New Roman" w:eastAsia="宋体" w:cs="宋体"/>
          <w:b/>
          <w:spacing w:val="-8"/>
          <w:kern w:val="0"/>
          <w:sz w:val="32"/>
          <w:szCs w:val="32"/>
        </w:rPr>
        <w:t>月</w:t>
      </w:r>
      <w:r>
        <w:rPr>
          <w:rFonts w:hint="eastAsia" w:ascii="宋体" w:hAnsi="Times New Roman" w:eastAsia="宋体" w:cs="宋体"/>
          <w:b/>
          <w:spacing w:val="-8"/>
          <w:kern w:val="0"/>
          <w:sz w:val="32"/>
          <w:szCs w:val="32"/>
          <w:u w:val="single"/>
        </w:rPr>
        <w:t xml:space="preserve"> 10 </w:t>
      </w:r>
      <w:r>
        <w:rPr>
          <w:rFonts w:hint="eastAsia" w:ascii="宋体" w:hAnsi="Times New Roman" w:eastAsia="宋体" w:cs="宋体"/>
          <w:b/>
          <w:spacing w:val="-8"/>
          <w:kern w:val="0"/>
          <w:sz w:val="32"/>
          <w:szCs w:val="32"/>
        </w:rPr>
        <w:t>日</w:t>
      </w:r>
    </w:p>
    <w:p>
      <w:pPr>
        <w:tabs>
          <w:tab w:val="right" w:leader="dot" w:pos="9638"/>
        </w:tabs>
        <w:jc w:val="center"/>
        <w:rPr>
          <w:rFonts w:ascii="Times New Roman" w:hAnsi="Times New Roman" w:eastAsia="宋体" w:cs="Times New Roman"/>
          <w:b/>
          <w:sz w:val="44"/>
          <w:szCs w:val="44"/>
        </w:rPr>
      </w:pPr>
      <w:r>
        <w:rPr>
          <w:rFonts w:hint="eastAsia" w:ascii="Times New Roman" w:hAnsi="Times New Roman" w:eastAsia="宋体" w:cs="Times New Roman"/>
          <w:b/>
          <w:sz w:val="44"/>
          <w:szCs w:val="44"/>
        </w:rPr>
        <w:t>目   录</w:t>
      </w: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numPr>
          <w:ilvl w:val="0"/>
          <w:numId w:val="1"/>
        </w:numPr>
        <w:spacing w:line="480" w:lineRule="auto"/>
        <w:ind w:left="1678" w:hanging="839"/>
        <w:rPr>
          <w:rFonts w:ascii="Times New Roman" w:hAnsi="Times New Roman" w:eastAsia="宋体" w:cs="Times New Roman"/>
          <w:b/>
          <w:sz w:val="32"/>
          <w:szCs w:val="32"/>
        </w:rPr>
      </w:pPr>
      <w:r>
        <w:rPr>
          <w:rFonts w:hint="eastAsia" w:ascii="Times New Roman" w:hAnsi="Times New Roman" w:eastAsia="宋体" w:cs="Times New Roman"/>
          <w:b/>
          <w:sz w:val="32"/>
          <w:szCs w:val="32"/>
        </w:rPr>
        <w:t>招标公告</w:t>
      </w:r>
    </w:p>
    <w:p>
      <w:pPr>
        <w:numPr>
          <w:ilvl w:val="0"/>
          <w:numId w:val="1"/>
        </w:numPr>
        <w:spacing w:line="480" w:lineRule="auto"/>
        <w:ind w:left="1678" w:hanging="839"/>
        <w:rPr>
          <w:rFonts w:ascii="Times New Roman" w:hAnsi="Times New Roman" w:eastAsia="宋体" w:cs="Times New Roman"/>
          <w:b/>
          <w:sz w:val="32"/>
          <w:szCs w:val="32"/>
        </w:rPr>
      </w:pPr>
      <w:r>
        <w:rPr>
          <w:rFonts w:hint="eastAsia" w:ascii="Times New Roman" w:hAnsi="Times New Roman" w:eastAsia="宋体" w:cs="Times New Roman"/>
          <w:b/>
          <w:sz w:val="32"/>
          <w:szCs w:val="32"/>
        </w:rPr>
        <w:t>投标人须知</w:t>
      </w:r>
    </w:p>
    <w:p>
      <w:pPr>
        <w:numPr>
          <w:ilvl w:val="0"/>
          <w:numId w:val="1"/>
        </w:numPr>
        <w:spacing w:line="480" w:lineRule="auto"/>
        <w:ind w:left="1678" w:hanging="839"/>
        <w:rPr>
          <w:rFonts w:ascii="Times New Roman" w:hAnsi="Times New Roman" w:eastAsia="宋体" w:cs="Times New Roman"/>
          <w:b/>
          <w:sz w:val="32"/>
          <w:szCs w:val="32"/>
        </w:rPr>
      </w:pPr>
      <w:r>
        <w:rPr>
          <w:rFonts w:hint="eastAsia" w:ascii="Times New Roman" w:hAnsi="Times New Roman" w:eastAsia="宋体" w:cs="Times New Roman"/>
          <w:b/>
          <w:sz w:val="32"/>
          <w:szCs w:val="32"/>
        </w:rPr>
        <w:t>评标办法（经评审的最低投标价法）</w:t>
      </w:r>
    </w:p>
    <w:p>
      <w:pPr>
        <w:numPr>
          <w:ilvl w:val="0"/>
          <w:numId w:val="1"/>
        </w:numPr>
        <w:spacing w:line="480" w:lineRule="auto"/>
        <w:ind w:left="1678" w:hanging="839"/>
        <w:rPr>
          <w:rFonts w:ascii="Times New Roman" w:hAnsi="Times New Roman" w:eastAsia="宋体" w:cs="Times New Roman"/>
          <w:b/>
          <w:sz w:val="32"/>
          <w:szCs w:val="32"/>
        </w:rPr>
      </w:pPr>
      <w:r>
        <w:rPr>
          <w:rFonts w:hint="eastAsia" w:ascii="Times New Roman" w:hAnsi="Times New Roman" w:eastAsia="宋体" w:cs="Times New Roman"/>
          <w:b/>
          <w:sz w:val="32"/>
          <w:szCs w:val="32"/>
        </w:rPr>
        <w:t>合同条款及格式</w:t>
      </w:r>
    </w:p>
    <w:p>
      <w:pPr>
        <w:numPr>
          <w:ilvl w:val="0"/>
          <w:numId w:val="1"/>
        </w:numPr>
        <w:spacing w:line="480" w:lineRule="auto"/>
        <w:ind w:left="1678" w:hanging="839"/>
        <w:rPr>
          <w:rFonts w:ascii="Times New Roman" w:hAnsi="Times New Roman" w:eastAsia="宋体" w:cs="Times New Roman"/>
          <w:b/>
          <w:sz w:val="32"/>
          <w:szCs w:val="32"/>
        </w:rPr>
      </w:pPr>
      <w:r>
        <w:rPr>
          <w:rFonts w:hint="eastAsia" w:ascii="Times New Roman" w:hAnsi="Times New Roman" w:eastAsia="宋体" w:cs="Times New Roman"/>
          <w:b/>
          <w:sz w:val="32"/>
          <w:szCs w:val="32"/>
        </w:rPr>
        <w:t>项目需求</w:t>
      </w:r>
    </w:p>
    <w:p>
      <w:pPr>
        <w:numPr>
          <w:ilvl w:val="0"/>
          <w:numId w:val="1"/>
        </w:numPr>
        <w:spacing w:line="480" w:lineRule="auto"/>
        <w:ind w:left="1678" w:hanging="839"/>
        <w:rPr>
          <w:rFonts w:ascii="Times New Roman" w:hAnsi="Times New Roman" w:eastAsia="宋体" w:cs="Times New Roman"/>
          <w:b/>
          <w:sz w:val="32"/>
          <w:szCs w:val="32"/>
        </w:rPr>
      </w:pPr>
      <w:r>
        <w:rPr>
          <w:rFonts w:hint="eastAsia" w:ascii="Times New Roman" w:hAnsi="Times New Roman" w:eastAsia="宋体" w:cs="Times New Roman"/>
          <w:b/>
          <w:sz w:val="32"/>
          <w:szCs w:val="32"/>
        </w:rPr>
        <w:t>投标文件格式</w:t>
      </w:r>
    </w:p>
    <w:p>
      <w:pPr>
        <w:spacing w:line="480" w:lineRule="auto"/>
        <w:ind w:left="839"/>
        <w:rPr>
          <w:rFonts w:ascii="Times New Roman" w:hAnsi="Times New Roman" w:eastAsia="宋体" w:cs="Times New Roman"/>
          <w:b/>
          <w:sz w:val="32"/>
          <w:szCs w:val="32"/>
        </w:rPr>
      </w:pPr>
    </w:p>
    <w:p>
      <w:pPr>
        <w:spacing w:after="120"/>
        <w:rPr>
          <w:rFonts w:ascii="Times New Roman" w:hAnsi="Times New Roman" w:eastAsia="宋体" w:cs="Times New Roman"/>
          <w:szCs w:val="20"/>
        </w:rPr>
      </w:pPr>
    </w:p>
    <w:p>
      <w:pPr>
        <w:snapToGrid w:val="0"/>
        <w:rPr>
          <w:rFonts w:ascii="Times New Roman" w:hAnsi="Times New Roman" w:eastAsia="宋体" w:cs="Times New Roman"/>
          <w:b/>
          <w:bCs/>
          <w:kern w:val="44"/>
          <w:sz w:val="28"/>
          <w:szCs w:val="28"/>
        </w:rPr>
      </w:pPr>
      <w:bookmarkStart w:id="0" w:name="_Toc22899"/>
      <w:bookmarkStart w:id="1" w:name="_Toc16073"/>
      <w:bookmarkStart w:id="2" w:name="_Toc23499"/>
    </w:p>
    <w:p>
      <w:pPr>
        <w:keepNext/>
        <w:keepLines/>
        <w:numPr>
          <w:ilvl w:val="0"/>
          <w:numId w:val="2"/>
        </w:numPr>
        <w:tabs>
          <w:tab w:val="left" w:pos="0"/>
        </w:tabs>
        <w:adjustRightInd w:val="0"/>
        <w:spacing w:line="500" w:lineRule="exact"/>
        <w:jc w:val="center"/>
        <w:outlineLvl w:val="0"/>
        <w:rPr>
          <w:rFonts w:ascii="Times New Roman" w:hAnsi="Times New Roman" w:eastAsia="宋体" w:cs="Times New Roman"/>
          <w:b/>
          <w:kern w:val="44"/>
          <w:sz w:val="48"/>
          <w:szCs w:val="44"/>
        </w:rPr>
        <w:sectPr>
          <w:headerReference r:id="rId5" w:type="default"/>
          <w:footerReference r:id="rId6" w:type="default"/>
          <w:type w:val="nextColumn"/>
          <w:pgSz w:w="11906" w:h="16838"/>
          <w:pgMar w:top="1418" w:right="1021" w:bottom="1134" w:left="1701" w:header="851" w:footer="624" w:gutter="0"/>
          <w:cols w:space="720" w:num="1"/>
          <w:docGrid w:linePitch="312" w:charSpace="0"/>
        </w:sectPr>
      </w:pPr>
    </w:p>
    <w:p>
      <w:pPr>
        <w:tabs>
          <w:tab w:val="left" w:pos="0"/>
        </w:tabs>
        <w:adjustRightInd w:val="0"/>
        <w:spacing w:line="500" w:lineRule="exact"/>
        <w:jc w:val="center"/>
        <w:outlineLvl w:val="0"/>
        <w:rPr>
          <w:rFonts w:ascii="Times New Roman" w:hAnsi="Times New Roman" w:eastAsia="宋体" w:cs="Times New Roman"/>
          <w:b/>
          <w:kern w:val="44"/>
          <w:sz w:val="32"/>
          <w:szCs w:val="32"/>
        </w:rPr>
      </w:pPr>
      <w:r>
        <w:rPr>
          <w:rFonts w:hint="eastAsia" w:ascii="Times New Roman" w:hAnsi="Times New Roman" w:eastAsia="宋体" w:cs="Times New Roman"/>
          <w:b/>
          <w:kern w:val="44"/>
          <w:sz w:val="32"/>
          <w:szCs w:val="32"/>
        </w:rPr>
        <w:t>第一章招标公告</w:t>
      </w:r>
    </w:p>
    <w:p>
      <w:pPr>
        <w:spacing w:line="500" w:lineRule="exact"/>
        <w:ind w:firstLine="1928" w:firstLineChars="600"/>
        <w:outlineLvl w:val="0"/>
        <w:rPr>
          <w:rFonts w:ascii="楷体_GB2312" w:hAnsi="楷体_GB2312" w:eastAsia="宋体" w:cs="Times New Roman"/>
          <w:b/>
          <w:bCs/>
          <w:kern w:val="36"/>
          <w:sz w:val="32"/>
          <w:szCs w:val="32"/>
        </w:rPr>
      </w:pPr>
    </w:p>
    <w:p>
      <w:pPr>
        <w:spacing w:line="500" w:lineRule="exact"/>
        <w:jc w:val="center"/>
        <w:outlineLvl w:val="0"/>
        <w:rPr>
          <w:rFonts w:ascii="楷体_GB2312" w:hAnsi="楷体_GB2312" w:eastAsia="宋体" w:cs="Times New Roman"/>
          <w:b/>
          <w:bCs/>
          <w:kern w:val="36"/>
          <w:sz w:val="30"/>
          <w:szCs w:val="30"/>
        </w:rPr>
      </w:pPr>
      <w:bookmarkStart w:id="3" w:name="OLE_LINK1"/>
      <w:bookmarkStart w:id="4" w:name="OLE_LINK6"/>
      <w:bookmarkStart w:id="5" w:name="OLE_LINK3"/>
      <w:bookmarkStart w:id="6" w:name="OLE_LINK5"/>
      <w:bookmarkStart w:id="7" w:name="OLE_LINK2"/>
      <w:r>
        <w:rPr>
          <w:rFonts w:hint="eastAsia" w:ascii="楷体_GB2312" w:hAnsi="楷体_GB2312" w:eastAsia="宋体" w:cs="Times New Roman"/>
          <w:b/>
          <w:bCs/>
          <w:kern w:val="36"/>
          <w:sz w:val="30"/>
          <w:szCs w:val="30"/>
        </w:rPr>
        <w:t>防火门、防火窗采购及安装项目招标公告</w:t>
      </w:r>
    </w:p>
    <w:p>
      <w:pPr>
        <w:adjustRightInd w:val="0"/>
        <w:snapToGrid w:val="0"/>
        <w:spacing w:line="440" w:lineRule="exact"/>
        <w:ind w:firstLine="422" w:firstLineChars="200"/>
        <w:outlineLvl w:val="1"/>
        <w:rPr>
          <w:rFonts w:ascii="宋体" w:hAnsi="Times New Roman" w:eastAsia="宋体" w:cs="宋体"/>
          <w:b/>
          <w:bCs/>
          <w:szCs w:val="21"/>
        </w:rPr>
      </w:pPr>
      <w:r>
        <w:rPr>
          <w:rFonts w:hint="eastAsia" w:ascii="宋体" w:hAnsi="Times New Roman" w:eastAsia="宋体" w:cs="宋体"/>
          <w:b/>
          <w:bCs/>
          <w:szCs w:val="21"/>
        </w:rPr>
        <w:t>1. 招标条件</w:t>
      </w:r>
    </w:p>
    <w:p>
      <w:pPr>
        <w:adjustRightInd w:val="0"/>
        <w:snapToGrid w:val="0"/>
        <w:spacing w:line="440" w:lineRule="exact"/>
        <w:ind w:firstLine="420" w:firstLineChars="200"/>
        <w:rPr>
          <w:rFonts w:ascii="宋体" w:hAnsi="Times New Roman" w:eastAsia="宋体" w:cs="宋体"/>
          <w:szCs w:val="21"/>
        </w:rPr>
      </w:pPr>
      <w:r>
        <w:rPr>
          <w:rFonts w:hint="eastAsia" w:ascii="宋体" w:hAnsi="宋体" w:eastAsia="宋体" w:cs="宋体"/>
          <w:color w:val="000000"/>
          <w:szCs w:val="21"/>
        </w:rPr>
        <w:t>本招标项目</w:t>
      </w:r>
      <w:r>
        <w:rPr>
          <w:rFonts w:hint="eastAsia" w:ascii="宋体" w:hAnsi="宋体" w:eastAsia="宋体" w:cs="宋体"/>
          <w:b/>
          <w:kern w:val="0"/>
          <w:szCs w:val="21"/>
          <w:u w:val="thick"/>
        </w:rPr>
        <w:t>防火门、防火窗采购及安装项目</w:t>
      </w:r>
      <w:r>
        <w:rPr>
          <w:rFonts w:hint="eastAsia" w:ascii="宋体" w:hAnsi="宋体" w:eastAsia="宋体" w:cs="宋体"/>
          <w:color w:val="000000"/>
          <w:szCs w:val="21"/>
        </w:rPr>
        <w:t>(项目名称)，招标人为</w:t>
      </w:r>
      <w:r>
        <w:rPr>
          <w:rFonts w:hint="eastAsia" w:ascii="宋体" w:hAnsi="宋体" w:eastAsia="宋体" w:cs="宋体"/>
          <w:b/>
          <w:kern w:val="0"/>
          <w:szCs w:val="21"/>
          <w:u w:val="thick"/>
        </w:rPr>
        <w:t>仪征市博润建材商贸有限公司</w:t>
      </w:r>
      <w:r>
        <w:rPr>
          <w:rFonts w:hint="eastAsia" w:ascii="宋体" w:hAnsi="宋体" w:eastAsia="宋体" w:cs="宋体"/>
          <w:color w:val="000000"/>
          <w:szCs w:val="21"/>
        </w:rPr>
        <w:t xml:space="preserve">，招标代理机构为 </w:t>
      </w:r>
      <w:r>
        <w:rPr>
          <w:rFonts w:hint="eastAsia" w:ascii="Times New Roman" w:hAnsi="Times New Roman" w:eastAsia="宋体" w:cs="Times New Roman"/>
          <w:b/>
          <w:snapToGrid w:val="0"/>
          <w:color w:val="000000"/>
          <w:szCs w:val="21"/>
          <w:u w:val="single"/>
        </w:rPr>
        <w:t>扬州市聚力项目管理有限公司</w:t>
      </w:r>
      <w:r>
        <w:rPr>
          <w:rFonts w:hint="eastAsia" w:ascii="宋体" w:hAnsi="宋体" w:eastAsia="宋体" w:cs="宋体"/>
          <w:color w:val="000000"/>
          <w:szCs w:val="21"/>
        </w:rPr>
        <w:t>，建设资金来自</w:t>
      </w:r>
      <w:r>
        <w:rPr>
          <w:rFonts w:hint="eastAsia" w:ascii="Times New Roman" w:hAnsi="Times New Roman" w:eastAsia="宋体" w:cs="Times New Roman"/>
          <w:b/>
          <w:snapToGrid w:val="0"/>
          <w:color w:val="000000"/>
          <w:szCs w:val="21"/>
          <w:u w:val="single"/>
        </w:rPr>
        <w:t>自筹</w:t>
      </w:r>
      <w:r>
        <w:rPr>
          <w:rFonts w:hint="eastAsia" w:ascii="宋体" w:hAnsi="宋体" w:eastAsia="宋体" w:cs="宋体"/>
          <w:color w:val="000000"/>
          <w:szCs w:val="21"/>
        </w:rPr>
        <w:t>(资金来源)，项目出资比例为</w:t>
      </w:r>
      <w:r>
        <w:rPr>
          <w:rFonts w:hint="eastAsia" w:ascii="Times New Roman" w:hAnsi="Times New Roman" w:eastAsia="宋体" w:cs="Times New Roman"/>
          <w:b/>
          <w:snapToGrid w:val="0"/>
          <w:color w:val="000000"/>
          <w:szCs w:val="21"/>
          <w:u w:val="single"/>
        </w:rPr>
        <w:t>100%</w:t>
      </w:r>
      <w:r>
        <w:rPr>
          <w:rFonts w:hint="eastAsia" w:ascii="宋体" w:hAnsi="宋体" w:eastAsia="宋体" w:cs="宋体"/>
          <w:color w:val="000000"/>
          <w:szCs w:val="21"/>
        </w:rPr>
        <w:t>。项目已具备招标条件，现对该项目的</w:t>
      </w:r>
      <w:r>
        <w:rPr>
          <w:rFonts w:hint="eastAsia" w:ascii="宋体" w:hAnsi="宋体" w:eastAsia="宋体" w:cs="宋体"/>
          <w:b/>
          <w:kern w:val="0"/>
          <w:szCs w:val="21"/>
          <w:u w:val="thick"/>
        </w:rPr>
        <w:t>防火门、防火窗采购及安装项目</w:t>
      </w:r>
      <w:r>
        <w:rPr>
          <w:rFonts w:hint="eastAsia" w:ascii="宋体" w:hAnsi="宋体" w:eastAsia="宋体" w:cs="宋体"/>
          <w:color w:val="000000"/>
          <w:szCs w:val="21"/>
        </w:rPr>
        <w:t>进行公开招标。</w:t>
      </w:r>
    </w:p>
    <w:p>
      <w:pPr>
        <w:adjustRightInd w:val="0"/>
        <w:snapToGrid w:val="0"/>
        <w:spacing w:line="440" w:lineRule="exact"/>
        <w:ind w:firstLine="422" w:firstLineChars="200"/>
        <w:outlineLvl w:val="1"/>
        <w:rPr>
          <w:rFonts w:ascii="宋体" w:hAnsi="Times New Roman" w:eastAsia="宋体" w:cs="宋体"/>
          <w:b/>
          <w:bCs/>
          <w:szCs w:val="21"/>
        </w:rPr>
      </w:pPr>
      <w:r>
        <w:rPr>
          <w:rFonts w:hint="eastAsia" w:ascii="宋体" w:hAnsi="Times New Roman" w:eastAsia="宋体" w:cs="宋体"/>
          <w:b/>
          <w:bCs/>
          <w:szCs w:val="21"/>
        </w:rPr>
        <w:t>2. 项目概况与招标范围</w:t>
      </w:r>
    </w:p>
    <w:p>
      <w:pPr>
        <w:adjustRightInd w:val="0"/>
        <w:snapToGrid w:val="0"/>
        <w:spacing w:line="440" w:lineRule="exact"/>
        <w:ind w:firstLine="420" w:firstLineChars="200"/>
        <w:rPr>
          <w:rFonts w:ascii="宋体" w:hAnsi="Times New Roman" w:eastAsia="宋体" w:cs="宋体"/>
          <w:b/>
          <w:color w:val="000000"/>
          <w:szCs w:val="21"/>
          <w:u w:val="single"/>
        </w:rPr>
      </w:pPr>
      <w:r>
        <w:rPr>
          <w:rFonts w:hint="eastAsia" w:ascii="宋体" w:hAnsi="Times New Roman" w:eastAsia="宋体" w:cs="宋体"/>
          <w:szCs w:val="21"/>
        </w:rPr>
        <w:t>2.1招标范围：</w:t>
      </w:r>
      <w:r>
        <w:rPr>
          <w:rFonts w:hint="eastAsia" w:ascii="宋体" w:hAnsi="宋体" w:eastAsia="宋体" w:cs="宋体"/>
          <w:b/>
          <w:kern w:val="0"/>
          <w:szCs w:val="21"/>
          <w:u w:val="thick"/>
        </w:rPr>
        <w:t>采购防火门、防火窗等，具体要求详见招标文件第五章项目需求。</w:t>
      </w:r>
    </w:p>
    <w:p>
      <w:pPr>
        <w:spacing w:after="120" w:line="440" w:lineRule="exact"/>
        <w:ind w:firstLine="420" w:firstLineChars="200"/>
        <w:rPr>
          <w:rFonts w:ascii="宋体" w:hAnsi="Times New Roman" w:eastAsia="宋体" w:cs="宋体"/>
          <w:szCs w:val="20"/>
        </w:rPr>
      </w:pPr>
      <w:r>
        <w:rPr>
          <w:rFonts w:hint="eastAsia" w:ascii="宋体" w:hAnsi="Times New Roman" w:eastAsia="宋体" w:cs="宋体"/>
          <w:szCs w:val="21"/>
        </w:rPr>
        <w:t>2.2供货地点：</w:t>
      </w:r>
      <w:r>
        <w:rPr>
          <w:rFonts w:hint="eastAsia" w:ascii="宋体" w:hAnsi="宋体" w:eastAsia="宋体" w:cs="宋体"/>
          <w:b/>
          <w:kern w:val="0"/>
          <w:szCs w:val="21"/>
          <w:u w:val="thick"/>
        </w:rPr>
        <w:t>仪征市区域内，具体位置按招标人要求</w:t>
      </w:r>
    </w:p>
    <w:p>
      <w:pPr>
        <w:adjustRightInd w:val="0"/>
        <w:snapToGrid w:val="0"/>
        <w:spacing w:line="440" w:lineRule="exact"/>
        <w:ind w:firstLine="420" w:firstLineChars="200"/>
        <w:rPr>
          <w:rFonts w:ascii="宋体" w:hAnsi="宋体" w:eastAsia="宋体" w:cs="宋体"/>
          <w:b/>
          <w:kern w:val="0"/>
          <w:szCs w:val="21"/>
          <w:u w:val="thick"/>
        </w:rPr>
      </w:pPr>
      <w:r>
        <w:rPr>
          <w:rFonts w:hint="eastAsia" w:ascii="宋体" w:hAnsi="Times New Roman" w:eastAsia="宋体" w:cs="宋体"/>
          <w:color w:val="000000"/>
          <w:szCs w:val="21"/>
        </w:rPr>
        <w:t>2.3</w:t>
      </w:r>
      <w:r>
        <w:rPr>
          <w:rFonts w:hint="eastAsia" w:ascii="宋体" w:hAnsi="Times New Roman" w:eastAsia="宋体" w:cs="宋体"/>
          <w:szCs w:val="21"/>
        </w:rPr>
        <w:t>供货</w:t>
      </w:r>
      <w:r>
        <w:rPr>
          <w:rFonts w:hint="eastAsia" w:ascii="宋体" w:hAnsi="Times New Roman" w:eastAsia="宋体" w:cs="宋体"/>
          <w:color w:val="000000"/>
          <w:szCs w:val="21"/>
        </w:rPr>
        <w:t>期：</w:t>
      </w:r>
      <w:r>
        <w:rPr>
          <w:rFonts w:hint="eastAsia" w:ascii="宋体" w:hAnsi="宋体" w:eastAsia="宋体" w:cs="宋体"/>
          <w:b/>
          <w:kern w:val="0"/>
          <w:szCs w:val="21"/>
          <w:u w:val="thick"/>
        </w:rPr>
        <w:t xml:space="preserve"> 30日历天。</w:t>
      </w:r>
      <w:bookmarkStart w:id="8" w:name="OLE_LINK10"/>
      <w:r>
        <w:rPr>
          <w:rFonts w:hint="eastAsia" w:ascii="宋体" w:hAnsi="宋体" w:eastAsia="宋体" w:cs="宋体"/>
          <w:b/>
          <w:kern w:val="0"/>
          <w:szCs w:val="21"/>
          <w:u w:val="thick"/>
        </w:rPr>
        <w:t>（分批次供货，具体供货时间根据项目施工进度来调整，收到甲方计划单按要求将货送至指定地点）</w:t>
      </w:r>
      <w:bookmarkEnd w:id="8"/>
    </w:p>
    <w:p>
      <w:pPr>
        <w:spacing w:after="120" w:line="440" w:lineRule="exact"/>
        <w:ind w:firstLine="420" w:firstLineChars="200"/>
        <w:rPr>
          <w:rFonts w:ascii="宋体" w:hAnsi="Times New Roman" w:eastAsia="宋体" w:cs="宋体"/>
          <w:szCs w:val="20"/>
        </w:rPr>
      </w:pPr>
      <w:r>
        <w:rPr>
          <w:rFonts w:hint="eastAsia" w:ascii="宋体" w:hAnsi="Times New Roman" w:eastAsia="宋体" w:cs="宋体"/>
          <w:szCs w:val="20"/>
        </w:rPr>
        <w:t>2.4标段划分：</w:t>
      </w:r>
      <w:r>
        <w:rPr>
          <w:rFonts w:hint="eastAsia" w:ascii="宋体" w:hAnsi="Times New Roman" w:eastAsia="宋体" w:cs="宋体"/>
          <w:b/>
          <w:szCs w:val="20"/>
          <w:u w:val="single"/>
        </w:rPr>
        <w:t>本次招标共划分为一个标段。</w:t>
      </w:r>
    </w:p>
    <w:p>
      <w:pPr>
        <w:spacing w:after="120" w:line="440" w:lineRule="exact"/>
        <w:ind w:firstLine="420" w:firstLineChars="200"/>
        <w:rPr>
          <w:rFonts w:ascii="宋体" w:hAnsi="Times New Roman" w:eastAsia="宋体" w:cs="宋体"/>
          <w:b/>
          <w:szCs w:val="20"/>
          <w:u w:val="single"/>
        </w:rPr>
      </w:pPr>
      <w:r>
        <w:rPr>
          <w:rFonts w:hint="eastAsia" w:ascii="宋体" w:hAnsi="Times New Roman" w:eastAsia="宋体" w:cs="宋体"/>
          <w:szCs w:val="20"/>
        </w:rPr>
        <w:t>2.5</w:t>
      </w:r>
      <w:r>
        <w:rPr>
          <w:rFonts w:hint="eastAsia" w:ascii="宋体" w:hAnsi="Times New Roman" w:eastAsia="宋体" w:cs="宋体"/>
          <w:szCs w:val="21"/>
        </w:rPr>
        <w:t>合同估算价：</w:t>
      </w:r>
      <w:r>
        <w:rPr>
          <w:rFonts w:hint="eastAsia" w:ascii="宋体" w:hAnsi="Times New Roman" w:eastAsia="宋体" w:cs="宋体"/>
          <w:b/>
          <w:szCs w:val="20"/>
          <w:u w:val="single"/>
        </w:rPr>
        <w:t>约48.1899万元</w:t>
      </w:r>
    </w:p>
    <w:p>
      <w:pPr>
        <w:adjustRightInd w:val="0"/>
        <w:snapToGrid w:val="0"/>
        <w:spacing w:line="440" w:lineRule="exact"/>
        <w:ind w:firstLine="422" w:firstLineChars="200"/>
        <w:outlineLvl w:val="1"/>
        <w:rPr>
          <w:rFonts w:ascii="宋体" w:hAnsi="Times New Roman" w:eastAsia="宋体" w:cs="宋体"/>
          <w:b/>
          <w:bCs/>
          <w:szCs w:val="21"/>
        </w:rPr>
      </w:pPr>
      <w:r>
        <w:rPr>
          <w:rFonts w:hint="eastAsia" w:ascii="宋体" w:hAnsi="Times New Roman" w:eastAsia="宋体" w:cs="宋体"/>
          <w:b/>
          <w:bCs/>
          <w:szCs w:val="21"/>
        </w:rPr>
        <w:t>3. 投标人资格要求</w:t>
      </w:r>
    </w:p>
    <w:p>
      <w:pPr>
        <w:adjustRightInd w:val="0"/>
        <w:snapToGrid w:val="0"/>
        <w:spacing w:line="440" w:lineRule="exact"/>
        <w:ind w:firstLine="420" w:firstLineChars="200"/>
        <w:rPr>
          <w:rFonts w:ascii="宋体" w:hAnsi="Times New Roman" w:eastAsia="宋体" w:cs="宋体"/>
          <w:szCs w:val="21"/>
        </w:rPr>
      </w:pPr>
      <w:r>
        <w:rPr>
          <w:rFonts w:hint="eastAsia" w:ascii="宋体" w:hAnsi="Times New Roman" w:eastAsia="宋体" w:cs="宋体"/>
          <w:szCs w:val="21"/>
        </w:rPr>
        <w:t>3.1具有独立订立合同的能力；</w:t>
      </w:r>
    </w:p>
    <w:p>
      <w:pPr>
        <w:adjustRightInd w:val="0"/>
        <w:snapToGrid w:val="0"/>
        <w:spacing w:line="440" w:lineRule="exact"/>
        <w:ind w:firstLine="420" w:firstLineChars="200"/>
        <w:rPr>
          <w:rFonts w:ascii="宋体" w:hAnsi="Times New Roman" w:eastAsia="宋体" w:cs="宋体"/>
          <w:szCs w:val="21"/>
        </w:rPr>
      </w:pPr>
      <w:r>
        <w:rPr>
          <w:rFonts w:hint="eastAsia" w:ascii="宋体" w:hAnsi="Times New Roman" w:eastAsia="宋体" w:cs="宋体"/>
          <w:szCs w:val="21"/>
        </w:rPr>
        <w:t>3.2未处于被责令停业、投标资格被取消或者财产被接管、冻结和破产状态；</w:t>
      </w:r>
    </w:p>
    <w:p>
      <w:pPr>
        <w:adjustRightInd w:val="0"/>
        <w:snapToGrid w:val="0"/>
        <w:spacing w:line="440" w:lineRule="exact"/>
        <w:ind w:firstLine="420" w:firstLineChars="200"/>
        <w:rPr>
          <w:rFonts w:ascii="宋体" w:hAnsi="Times New Roman" w:eastAsia="宋体" w:cs="宋体"/>
          <w:szCs w:val="21"/>
        </w:rPr>
      </w:pPr>
      <w:r>
        <w:rPr>
          <w:rFonts w:hint="eastAsia" w:ascii="宋体" w:hAnsi="Times New Roman" w:eastAsia="宋体" w:cs="宋体"/>
          <w:szCs w:val="21"/>
        </w:rPr>
        <w:t>3.3企业没有因骗取中标或者严重违约以及发生重大工程质量、安全生产事故等违法违规问题，被有关部门暂停投标资格并在暂停期内；</w:t>
      </w:r>
    </w:p>
    <w:p>
      <w:pPr>
        <w:adjustRightInd w:val="0"/>
        <w:snapToGrid w:val="0"/>
        <w:spacing w:line="440" w:lineRule="exact"/>
        <w:ind w:firstLine="420" w:firstLineChars="200"/>
        <w:rPr>
          <w:rFonts w:ascii="宋体" w:hAnsi="Times New Roman" w:eastAsia="宋体" w:cs="宋体"/>
          <w:szCs w:val="21"/>
        </w:rPr>
      </w:pPr>
      <w:r>
        <w:rPr>
          <w:rFonts w:hint="eastAsia" w:ascii="宋体" w:hAnsi="Times New Roman" w:eastAsia="宋体" w:cs="宋体"/>
          <w:szCs w:val="21"/>
        </w:rPr>
        <w:t>3.4 本次招标要求投标人在人员、设备、资金等方面具有相应的履约能力，且须具备以下条件：</w:t>
      </w:r>
    </w:p>
    <w:p>
      <w:pPr>
        <w:adjustRightInd w:val="0"/>
        <w:snapToGrid w:val="0"/>
        <w:spacing w:line="440" w:lineRule="exact"/>
        <w:ind w:firstLine="420" w:firstLineChars="200"/>
        <w:rPr>
          <w:rFonts w:ascii="宋体" w:hAnsi="Times New Roman" w:eastAsia="宋体" w:cs="宋体"/>
          <w:szCs w:val="21"/>
        </w:rPr>
      </w:pPr>
      <w:r>
        <w:rPr>
          <w:rFonts w:hint="eastAsia" w:ascii="宋体" w:hAnsi="Times New Roman" w:eastAsia="宋体" w:cs="宋体"/>
          <w:szCs w:val="21"/>
        </w:rPr>
        <w:t>3.4.1</w:t>
      </w:r>
      <w:r>
        <w:rPr>
          <w:rFonts w:hint="eastAsia" w:ascii="宋体" w:hAnsi="Times New Roman" w:eastAsia="宋体" w:cs="宋体"/>
          <w:b/>
          <w:szCs w:val="21"/>
        </w:rPr>
        <w:t>投标人应在中国境内取得有效营业执照</w:t>
      </w:r>
      <w:r>
        <w:rPr>
          <w:rFonts w:hint="eastAsia" w:ascii="宋体" w:hAnsi="Times New Roman" w:eastAsia="宋体" w:cs="宋体"/>
          <w:szCs w:val="21"/>
        </w:rPr>
        <w:t>；</w:t>
      </w:r>
    </w:p>
    <w:p>
      <w:pPr>
        <w:adjustRightInd w:val="0"/>
        <w:snapToGrid w:val="0"/>
        <w:spacing w:line="440" w:lineRule="exact"/>
        <w:ind w:firstLine="422" w:firstLineChars="200"/>
        <w:rPr>
          <w:rFonts w:ascii="宋体" w:hAnsi="Times New Roman" w:eastAsia="宋体" w:cs="宋体"/>
          <w:b/>
          <w:szCs w:val="21"/>
        </w:rPr>
      </w:pPr>
      <w:r>
        <w:rPr>
          <w:rFonts w:hint="eastAsia" w:ascii="宋体" w:hAnsi="Times New Roman" w:eastAsia="宋体" w:cs="宋体"/>
          <w:b/>
          <w:szCs w:val="21"/>
        </w:rPr>
        <w:t>3.4.2投标人应为生产商或代理商；</w:t>
      </w:r>
    </w:p>
    <w:p>
      <w:pPr>
        <w:adjustRightInd w:val="0"/>
        <w:snapToGrid w:val="0"/>
        <w:spacing w:line="440" w:lineRule="exact"/>
        <w:ind w:firstLine="422" w:firstLineChars="200"/>
        <w:rPr>
          <w:rFonts w:ascii="宋体" w:hAnsi="Times New Roman" w:eastAsia="宋体" w:cs="宋体"/>
          <w:b/>
          <w:szCs w:val="21"/>
        </w:rPr>
      </w:pPr>
      <w:r>
        <w:rPr>
          <w:rFonts w:hint="eastAsia" w:ascii="宋体" w:hAnsi="Times New Roman" w:eastAsia="宋体" w:cs="宋体"/>
          <w:b/>
          <w:szCs w:val="21"/>
        </w:rPr>
        <w:t>（1）如生产商参与投标需同时</w:t>
      </w:r>
      <w:bookmarkStart w:id="9" w:name="OLE_LINK9"/>
      <w:r>
        <w:rPr>
          <w:rFonts w:hint="eastAsia" w:ascii="宋体" w:hAnsi="Times New Roman" w:eastAsia="宋体" w:cs="宋体"/>
          <w:b/>
          <w:szCs w:val="21"/>
        </w:rPr>
        <w:t>满足以下条件：</w:t>
      </w:r>
    </w:p>
    <w:p>
      <w:pPr>
        <w:adjustRightInd w:val="0"/>
        <w:snapToGrid w:val="0"/>
        <w:spacing w:line="440" w:lineRule="exact"/>
        <w:ind w:firstLine="422" w:firstLineChars="200"/>
        <w:rPr>
          <w:rFonts w:ascii="宋体" w:hAnsi="Times New Roman" w:eastAsia="宋体" w:cs="宋体"/>
          <w:b/>
          <w:szCs w:val="21"/>
        </w:rPr>
      </w:pPr>
      <w:r>
        <w:rPr>
          <w:rFonts w:ascii="宋体" w:hAnsi="Times New Roman" w:eastAsia="宋体" w:cs="宋体"/>
          <w:b/>
          <w:szCs w:val="21"/>
        </w:rPr>
        <w:t>A</w:t>
      </w:r>
      <w:r>
        <w:rPr>
          <w:rFonts w:hint="eastAsia" w:ascii="宋体" w:hAnsi="Times New Roman" w:eastAsia="宋体" w:cs="宋体"/>
          <w:b/>
          <w:szCs w:val="21"/>
        </w:rPr>
        <w:t>、工业产品生产许可证；</w:t>
      </w:r>
    </w:p>
    <w:p>
      <w:pPr>
        <w:adjustRightInd w:val="0"/>
        <w:snapToGrid w:val="0"/>
        <w:spacing w:line="440" w:lineRule="exact"/>
        <w:ind w:firstLine="422" w:firstLineChars="200"/>
        <w:rPr>
          <w:rFonts w:ascii="宋体" w:hAnsi="Times New Roman" w:eastAsia="宋体" w:cs="宋体"/>
          <w:b/>
          <w:szCs w:val="21"/>
        </w:rPr>
      </w:pPr>
      <w:r>
        <w:rPr>
          <w:rFonts w:hint="eastAsia" w:ascii="宋体" w:hAnsi="Times New Roman" w:eastAsia="宋体" w:cs="宋体"/>
          <w:b/>
          <w:szCs w:val="21"/>
        </w:rPr>
        <w:t>B、消防产品认证证书（范围防火门、窗）；</w:t>
      </w:r>
    </w:p>
    <w:p>
      <w:pPr>
        <w:adjustRightInd w:val="0"/>
        <w:snapToGrid w:val="0"/>
        <w:spacing w:line="440" w:lineRule="exact"/>
        <w:ind w:firstLine="422" w:firstLineChars="200"/>
        <w:rPr>
          <w:rFonts w:ascii="宋体" w:hAnsi="Times New Roman" w:eastAsia="宋体" w:cs="宋体"/>
          <w:b/>
          <w:szCs w:val="21"/>
        </w:rPr>
      </w:pPr>
      <w:r>
        <w:rPr>
          <w:rFonts w:hint="eastAsia" w:ascii="宋体" w:hAnsi="Times New Roman" w:eastAsia="宋体" w:cs="宋体"/>
          <w:b/>
          <w:szCs w:val="21"/>
        </w:rPr>
        <w:t>C、</w:t>
      </w:r>
      <w:r>
        <w:rPr>
          <w:rFonts w:ascii="宋体" w:hAnsi="Times New Roman" w:eastAsia="宋体" w:cs="宋体"/>
          <w:b/>
          <w:szCs w:val="21"/>
        </w:rPr>
        <w:t>生产防火门、窗型式认可证书</w:t>
      </w:r>
      <w:bookmarkEnd w:id="9"/>
      <w:r>
        <w:rPr>
          <w:rFonts w:hint="eastAsia" w:ascii="宋体" w:hAnsi="Times New Roman" w:eastAsia="宋体" w:cs="宋体"/>
          <w:b/>
          <w:szCs w:val="21"/>
        </w:rPr>
        <w:t>；</w:t>
      </w:r>
    </w:p>
    <w:p>
      <w:pPr>
        <w:adjustRightInd w:val="0"/>
        <w:snapToGrid w:val="0"/>
        <w:spacing w:line="440" w:lineRule="exact"/>
        <w:ind w:firstLine="422" w:firstLineChars="200"/>
        <w:rPr>
          <w:rFonts w:ascii="宋体" w:hAnsi="Times New Roman" w:eastAsia="宋体" w:cs="宋体"/>
          <w:b/>
          <w:szCs w:val="21"/>
        </w:rPr>
      </w:pPr>
      <w:r>
        <w:rPr>
          <w:rFonts w:hint="eastAsia" w:ascii="宋体" w:hAnsi="Times New Roman" w:eastAsia="宋体" w:cs="宋体"/>
          <w:b/>
          <w:szCs w:val="21"/>
        </w:rPr>
        <w:t>D、提供经国家认可的第三方权威检测机构出具的所投防火门（甲级、乙级、丙级）和防火窗（乙级）有效期内的型式检验（检测）报告；</w:t>
      </w:r>
    </w:p>
    <w:p>
      <w:pPr>
        <w:adjustRightInd w:val="0"/>
        <w:snapToGrid w:val="0"/>
        <w:spacing w:line="440" w:lineRule="exact"/>
        <w:ind w:firstLine="422" w:firstLineChars="200"/>
        <w:rPr>
          <w:rFonts w:ascii="宋体" w:hAnsi="Times New Roman" w:eastAsia="宋体" w:cs="宋体"/>
          <w:b/>
          <w:szCs w:val="21"/>
        </w:rPr>
      </w:pPr>
      <w:r>
        <w:rPr>
          <w:rFonts w:hint="eastAsia" w:ascii="宋体" w:hAnsi="Times New Roman" w:eastAsia="宋体" w:cs="宋体"/>
          <w:b/>
          <w:szCs w:val="21"/>
        </w:rPr>
        <w:t>E、消防设施工程专业承包二级及以上资质及</w:t>
      </w:r>
      <w:r>
        <w:rPr>
          <w:rFonts w:ascii="宋体" w:hAnsi="Times New Roman" w:eastAsia="宋体" w:cs="宋体"/>
          <w:b/>
          <w:szCs w:val="21"/>
        </w:rPr>
        <w:t>建筑施工企业安全生产许可证；</w:t>
      </w:r>
    </w:p>
    <w:p>
      <w:pPr>
        <w:adjustRightInd w:val="0"/>
        <w:snapToGrid w:val="0"/>
        <w:spacing w:line="440" w:lineRule="exact"/>
        <w:ind w:firstLine="422" w:firstLineChars="200"/>
        <w:rPr>
          <w:rFonts w:ascii="宋体" w:hAnsi="Times New Roman" w:eastAsia="宋体" w:cs="宋体"/>
          <w:b/>
          <w:szCs w:val="21"/>
        </w:rPr>
      </w:pPr>
      <w:r>
        <w:rPr>
          <w:rFonts w:hint="eastAsia" w:ascii="宋体" w:hAnsi="Times New Roman" w:eastAsia="宋体" w:cs="宋体"/>
          <w:b/>
          <w:szCs w:val="21"/>
        </w:rPr>
        <w:t>（2）如代理商参与投标</w:t>
      </w:r>
      <w:r>
        <w:rPr>
          <w:rFonts w:ascii="宋体" w:hAnsi="Times New Roman" w:eastAsia="宋体" w:cs="宋体"/>
          <w:b/>
          <w:szCs w:val="21"/>
        </w:rPr>
        <w:t>须提供所投产品品牌的针对本项目的授权书</w:t>
      </w:r>
      <w:r>
        <w:rPr>
          <w:rFonts w:hint="eastAsia" w:ascii="宋体" w:hAnsi="Times New Roman" w:eastAsia="宋体" w:cs="宋体"/>
          <w:b/>
          <w:szCs w:val="21"/>
        </w:rPr>
        <w:t>及</w:t>
      </w:r>
      <w:r>
        <w:rPr>
          <w:rFonts w:ascii="宋体" w:hAnsi="Times New Roman" w:eastAsia="宋体" w:cs="宋体"/>
          <w:b/>
          <w:szCs w:val="21"/>
        </w:rPr>
        <w:t>生产商的</w:t>
      </w:r>
      <w:r>
        <w:rPr>
          <w:rFonts w:hint="eastAsia" w:ascii="宋体" w:hAnsi="Times New Roman" w:eastAsia="宋体" w:cs="宋体"/>
          <w:b/>
          <w:szCs w:val="21"/>
        </w:rPr>
        <w:t>A、B、C、D项的证书要求；代理商需具备消防设施工程专业承包二级及以上资质及</w:t>
      </w:r>
      <w:r>
        <w:rPr>
          <w:rFonts w:ascii="宋体" w:hAnsi="Times New Roman" w:eastAsia="宋体" w:cs="宋体"/>
          <w:b/>
          <w:szCs w:val="21"/>
        </w:rPr>
        <w:t>建筑施工企业安全生产许可证；</w:t>
      </w:r>
    </w:p>
    <w:p>
      <w:pPr>
        <w:adjustRightInd w:val="0"/>
        <w:snapToGrid w:val="0"/>
        <w:spacing w:line="440" w:lineRule="exact"/>
        <w:ind w:firstLine="422" w:firstLineChars="200"/>
        <w:rPr>
          <w:rFonts w:ascii="宋体" w:hAnsi="Times New Roman" w:eastAsia="宋体" w:cs="宋体"/>
          <w:b/>
          <w:szCs w:val="21"/>
        </w:rPr>
      </w:pPr>
      <w:r>
        <w:rPr>
          <w:rFonts w:hint="eastAsia" w:ascii="宋体" w:hAnsi="Times New Roman" w:eastAsia="宋体" w:cs="宋体"/>
          <w:b/>
          <w:szCs w:val="21"/>
        </w:rPr>
        <w:t>3.4.3</w:t>
      </w:r>
      <w:r>
        <w:rPr>
          <w:rFonts w:ascii="宋体" w:hAnsi="Times New Roman" w:eastAsia="宋体" w:cs="宋体"/>
          <w:b/>
          <w:szCs w:val="21"/>
        </w:rPr>
        <w:t>投标人拟派项目负责人具备二级及以上注册建造师（机电专业）资格</w:t>
      </w:r>
      <w:r>
        <w:rPr>
          <w:rFonts w:hint="eastAsia" w:ascii="宋体" w:hAnsi="Times New Roman" w:eastAsia="宋体" w:cs="宋体"/>
          <w:b/>
          <w:szCs w:val="21"/>
        </w:rPr>
        <w:t>并具备有效的安全生产考核合格证书（B证）</w:t>
      </w:r>
    </w:p>
    <w:p>
      <w:pPr>
        <w:adjustRightInd w:val="0"/>
        <w:snapToGrid w:val="0"/>
        <w:spacing w:line="440" w:lineRule="exact"/>
        <w:ind w:firstLine="420" w:firstLineChars="200"/>
        <w:rPr>
          <w:rFonts w:ascii="宋体" w:hAnsi="Times New Roman" w:eastAsia="宋体" w:cs="宋体"/>
          <w:szCs w:val="21"/>
        </w:rPr>
      </w:pPr>
      <w:r>
        <w:rPr>
          <w:rFonts w:hint="eastAsia" w:ascii="宋体" w:hAnsi="Times New Roman" w:eastAsia="宋体" w:cs="宋体"/>
          <w:szCs w:val="21"/>
        </w:rPr>
        <w:t>3.4.4</w:t>
      </w:r>
      <w:r>
        <w:rPr>
          <w:rFonts w:ascii="宋体" w:hAnsi="Times New Roman" w:eastAsia="宋体" w:cs="宋体"/>
          <w:b/>
          <w:szCs w:val="21"/>
        </w:rPr>
        <w:t>投标人202</w:t>
      </w:r>
      <w:r>
        <w:rPr>
          <w:rFonts w:hint="eastAsia" w:ascii="宋体" w:hAnsi="Times New Roman" w:eastAsia="宋体" w:cs="宋体"/>
          <w:b/>
          <w:szCs w:val="21"/>
        </w:rPr>
        <w:t>2</w:t>
      </w:r>
      <w:r>
        <w:rPr>
          <w:rFonts w:ascii="宋体" w:hAnsi="Times New Roman" w:eastAsia="宋体" w:cs="宋体"/>
          <w:b/>
          <w:szCs w:val="21"/>
        </w:rPr>
        <w:t>年</w:t>
      </w:r>
      <w:r>
        <w:rPr>
          <w:rFonts w:hint="eastAsia" w:ascii="宋体" w:hAnsi="Times New Roman" w:eastAsia="宋体" w:cs="宋体"/>
          <w:b/>
          <w:szCs w:val="21"/>
        </w:rPr>
        <w:t>6</w:t>
      </w:r>
      <w:r>
        <w:rPr>
          <w:rFonts w:ascii="宋体" w:hAnsi="Times New Roman" w:eastAsia="宋体" w:cs="宋体"/>
          <w:b/>
          <w:szCs w:val="21"/>
        </w:rPr>
        <w:t>月1日以来（以合同签订时间为准）具有单项合同销售金额达到</w:t>
      </w:r>
      <w:r>
        <w:rPr>
          <w:rFonts w:hint="eastAsia" w:ascii="宋体" w:hAnsi="Times New Roman" w:eastAsia="宋体" w:cs="宋体"/>
          <w:b/>
          <w:szCs w:val="21"/>
        </w:rPr>
        <w:t>38</w:t>
      </w:r>
      <w:r>
        <w:rPr>
          <w:rFonts w:ascii="宋体" w:hAnsi="Times New Roman" w:eastAsia="宋体" w:cs="宋体"/>
          <w:b/>
          <w:szCs w:val="21"/>
        </w:rPr>
        <w:t>万元及以上的</w:t>
      </w:r>
      <w:r>
        <w:rPr>
          <w:rFonts w:hint="eastAsia" w:ascii="宋体" w:hAnsi="Times New Roman" w:eastAsia="宋体" w:cs="宋体"/>
          <w:b/>
          <w:szCs w:val="21"/>
        </w:rPr>
        <w:t>防火门及防火窗</w:t>
      </w:r>
      <w:r>
        <w:rPr>
          <w:rFonts w:ascii="宋体" w:hAnsi="Times New Roman" w:eastAsia="宋体" w:cs="宋体"/>
          <w:b/>
          <w:szCs w:val="21"/>
        </w:rPr>
        <w:t>业绩。（提供业绩合同原件、合同对应的增值税发票原件（所提供发票必须上传到“国家税务总局全国增值税发票查验平台”进行查验），开票日期须在202</w:t>
      </w:r>
      <w:r>
        <w:rPr>
          <w:rFonts w:hint="eastAsia" w:ascii="宋体" w:hAnsi="Times New Roman" w:eastAsia="宋体" w:cs="宋体"/>
          <w:b/>
          <w:szCs w:val="21"/>
        </w:rPr>
        <w:t>2</w:t>
      </w:r>
      <w:r>
        <w:rPr>
          <w:rFonts w:ascii="宋体" w:hAnsi="Times New Roman" w:eastAsia="宋体" w:cs="宋体"/>
          <w:b/>
          <w:szCs w:val="21"/>
        </w:rPr>
        <w:t>年</w:t>
      </w:r>
      <w:r>
        <w:rPr>
          <w:rFonts w:hint="eastAsia" w:ascii="宋体" w:hAnsi="Times New Roman" w:eastAsia="宋体" w:cs="宋体"/>
          <w:b/>
          <w:szCs w:val="21"/>
        </w:rPr>
        <w:t>6</w:t>
      </w:r>
      <w:r>
        <w:rPr>
          <w:rFonts w:ascii="宋体" w:hAnsi="Times New Roman" w:eastAsia="宋体" w:cs="宋体"/>
          <w:b/>
          <w:szCs w:val="21"/>
        </w:rPr>
        <w:t>月1日后且本项目招标公告发布之前</w:t>
      </w:r>
      <w:r>
        <w:rPr>
          <w:rFonts w:hint="eastAsia" w:ascii="宋体" w:hAnsi="Times New Roman" w:eastAsia="宋体" w:cs="宋体"/>
          <w:b/>
          <w:szCs w:val="21"/>
        </w:rPr>
        <w:t>。</w:t>
      </w:r>
    </w:p>
    <w:p>
      <w:pPr>
        <w:adjustRightInd w:val="0"/>
        <w:snapToGrid w:val="0"/>
        <w:spacing w:line="440" w:lineRule="exact"/>
        <w:ind w:firstLine="420" w:firstLineChars="200"/>
        <w:rPr>
          <w:rFonts w:ascii="宋体" w:hAnsi="Times New Roman" w:eastAsia="宋体" w:cs="宋体"/>
          <w:szCs w:val="21"/>
        </w:rPr>
      </w:pPr>
      <w:r>
        <w:rPr>
          <w:rFonts w:hint="eastAsia" w:ascii="宋体" w:hAnsi="Times New Roman" w:eastAsia="宋体" w:cs="宋体"/>
          <w:szCs w:val="21"/>
        </w:rPr>
        <w:t>3.4.5</w:t>
      </w:r>
      <w:r>
        <w:rPr>
          <w:rFonts w:ascii="宋体" w:hAnsi="Times New Roman" w:eastAsia="宋体" w:cs="宋体"/>
          <w:szCs w:val="21"/>
        </w:rPr>
        <w:t>具有良好的商业信誉和健全的财务会计制度；</w:t>
      </w:r>
    </w:p>
    <w:p>
      <w:pPr>
        <w:adjustRightInd w:val="0"/>
        <w:snapToGrid w:val="0"/>
        <w:spacing w:line="440" w:lineRule="exact"/>
        <w:ind w:firstLine="420" w:firstLineChars="200"/>
        <w:rPr>
          <w:rFonts w:ascii="宋体" w:hAnsi="Times New Roman" w:eastAsia="宋体" w:cs="宋体"/>
          <w:szCs w:val="21"/>
        </w:rPr>
      </w:pPr>
      <w:r>
        <w:rPr>
          <w:rFonts w:hint="eastAsia" w:ascii="宋体" w:hAnsi="Times New Roman" w:eastAsia="宋体" w:cs="宋体"/>
          <w:szCs w:val="21"/>
        </w:rPr>
        <w:t>3.4.6</w:t>
      </w:r>
      <w:r>
        <w:rPr>
          <w:rFonts w:ascii="宋体" w:hAnsi="Times New Roman" w:eastAsia="宋体" w:cs="宋体"/>
          <w:szCs w:val="21"/>
        </w:rPr>
        <w:t>具有履行合同所必需的设备和专业技术能力</w:t>
      </w:r>
      <w:r>
        <w:rPr>
          <w:rFonts w:hint="eastAsia" w:ascii="宋体" w:hAnsi="Times New Roman" w:eastAsia="宋体" w:cs="宋体"/>
          <w:szCs w:val="21"/>
        </w:rPr>
        <w:t>；</w:t>
      </w:r>
    </w:p>
    <w:p>
      <w:pPr>
        <w:adjustRightInd w:val="0"/>
        <w:snapToGrid w:val="0"/>
        <w:spacing w:line="440" w:lineRule="exact"/>
        <w:ind w:firstLine="420" w:firstLineChars="200"/>
        <w:rPr>
          <w:rFonts w:ascii="宋体" w:hAnsi="Times New Roman" w:eastAsia="宋体" w:cs="宋体"/>
          <w:szCs w:val="21"/>
        </w:rPr>
      </w:pPr>
      <w:r>
        <w:rPr>
          <w:rFonts w:hint="eastAsia" w:ascii="宋体" w:hAnsi="Times New Roman" w:eastAsia="宋体" w:cs="宋体"/>
          <w:szCs w:val="21"/>
        </w:rPr>
        <w:t>3.4.7</w:t>
      </w:r>
      <w:r>
        <w:rPr>
          <w:rFonts w:ascii="宋体" w:hAnsi="Times New Roman" w:eastAsia="宋体" w:cs="宋体"/>
          <w:szCs w:val="21"/>
        </w:rPr>
        <w:t>有依法缴纳税收和社会保障资金的良好记录</w:t>
      </w:r>
      <w:r>
        <w:rPr>
          <w:rFonts w:hint="eastAsia" w:ascii="宋体" w:hAnsi="Times New Roman" w:eastAsia="宋体" w:cs="宋体"/>
          <w:szCs w:val="21"/>
        </w:rPr>
        <w:t>；</w:t>
      </w:r>
    </w:p>
    <w:p>
      <w:pPr>
        <w:adjustRightInd w:val="0"/>
        <w:snapToGrid w:val="0"/>
        <w:spacing w:line="440" w:lineRule="exact"/>
        <w:ind w:firstLine="420" w:firstLineChars="200"/>
        <w:rPr>
          <w:rFonts w:ascii="宋体" w:hAnsi="Times New Roman" w:eastAsia="宋体" w:cs="宋体"/>
          <w:szCs w:val="21"/>
        </w:rPr>
      </w:pPr>
      <w:r>
        <w:rPr>
          <w:rFonts w:hint="eastAsia" w:ascii="宋体" w:hAnsi="Times New Roman" w:eastAsia="宋体" w:cs="宋体"/>
          <w:szCs w:val="21"/>
        </w:rPr>
        <w:t>3.4.8</w:t>
      </w:r>
      <w:r>
        <w:rPr>
          <w:rFonts w:ascii="宋体" w:hAnsi="Times New Roman" w:eastAsia="宋体" w:cs="宋体"/>
          <w:szCs w:val="21"/>
        </w:rPr>
        <w:t>法律、行政法规规定的其他条件。</w:t>
      </w:r>
    </w:p>
    <w:p>
      <w:pPr>
        <w:adjustRightInd w:val="0"/>
        <w:snapToGrid w:val="0"/>
        <w:spacing w:line="440" w:lineRule="exact"/>
        <w:ind w:firstLine="420" w:firstLineChars="200"/>
        <w:rPr>
          <w:rFonts w:ascii="宋体" w:hAnsi="Times New Roman" w:eastAsia="宋体" w:cs="宋体"/>
          <w:szCs w:val="21"/>
        </w:rPr>
      </w:pPr>
      <w:r>
        <w:rPr>
          <w:rFonts w:hint="eastAsia" w:ascii="宋体" w:hAnsi="Times New Roman" w:eastAsia="宋体" w:cs="宋体"/>
          <w:szCs w:val="21"/>
        </w:rPr>
        <w:t>3.5本次招标</w:t>
      </w:r>
      <w:r>
        <w:rPr>
          <w:rFonts w:hint="eastAsia" w:ascii="宋体" w:hAnsi="Times New Roman" w:eastAsia="宋体" w:cs="宋体"/>
          <w:szCs w:val="21"/>
          <w:u w:val="single"/>
        </w:rPr>
        <w:t>不接受</w:t>
      </w:r>
      <w:r>
        <w:rPr>
          <w:rFonts w:hint="eastAsia" w:ascii="宋体" w:hAnsi="Times New Roman" w:eastAsia="宋体" w:cs="宋体"/>
          <w:szCs w:val="21"/>
        </w:rPr>
        <w:t>联合体投标；</w:t>
      </w:r>
    </w:p>
    <w:p>
      <w:pPr>
        <w:adjustRightInd w:val="0"/>
        <w:snapToGrid w:val="0"/>
        <w:spacing w:line="440" w:lineRule="exact"/>
        <w:ind w:left="210" w:leftChars="100" w:firstLine="210" w:firstLineChars="100"/>
        <w:rPr>
          <w:rFonts w:ascii="宋体" w:hAnsi="Times New Roman" w:eastAsia="宋体" w:cs="宋体"/>
          <w:szCs w:val="21"/>
        </w:rPr>
      </w:pPr>
      <w:r>
        <w:rPr>
          <w:rFonts w:hint="eastAsia" w:ascii="宋体" w:hAnsi="Times New Roman" w:eastAsia="宋体" w:cs="宋体"/>
          <w:szCs w:val="21"/>
        </w:rPr>
        <w:t>3.6</w:t>
      </w:r>
      <w:r>
        <w:rPr>
          <w:rFonts w:hint="eastAsia" w:ascii="宋体" w:hAnsi="宋体" w:eastAsia="宋体" w:cs="宋体"/>
          <w:color w:val="000000"/>
          <w:kern w:val="0"/>
          <w:szCs w:val="21"/>
          <w:shd w:val="clear" w:color="auto" w:fill="FFFFFF"/>
        </w:rPr>
        <w:t>投标人2025年</w:t>
      </w:r>
      <w:r>
        <w:rPr>
          <w:rFonts w:hint="eastAsia" w:ascii="宋体" w:hAnsi="宋体" w:eastAsia="宋体" w:cs="宋体"/>
          <w:color w:val="000000"/>
          <w:kern w:val="0"/>
          <w:szCs w:val="21"/>
          <w:u w:val="single"/>
          <w:shd w:val="clear" w:color="auto" w:fill="FFFFFF"/>
        </w:rPr>
        <w:t xml:space="preserve"> 3 </w:t>
      </w:r>
      <w:r>
        <w:rPr>
          <w:rFonts w:hint="eastAsia" w:ascii="宋体" w:hAnsi="宋体" w:eastAsia="宋体" w:cs="宋体"/>
          <w:color w:val="000000"/>
          <w:kern w:val="0"/>
          <w:szCs w:val="21"/>
          <w:shd w:val="clear" w:color="auto" w:fill="FFFFFF"/>
        </w:rPr>
        <w:t>月至2025年</w:t>
      </w:r>
      <w:r>
        <w:rPr>
          <w:rFonts w:hint="eastAsia" w:ascii="宋体" w:hAnsi="宋体" w:eastAsia="宋体" w:cs="宋体"/>
          <w:color w:val="000000"/>
          <w:kern w:val="0"/>
          <w:szCs w:val="21"/>
          <w:u w:val="single"/>
          <w:shd w:val="clear" w:color="auto" w:fill="FFFFFF"/>
        </w:rPr>
        <w:t xml:space="preserve"> 5 </w:t>
      </w:r>
      <w:r>
        <w:rPr>
          <w:rFonts w:hint="eastAsia" w:ascii="宋体" w:hAnsi="宋体" w:eastAsia="宋体" w:cs="宋体"/>
          <w:color w:val="000000"/>
          <w:kern w:val="0"/>
          <w:szCs w:val="21"/>
          <w:shd w:val="clear" w:color="auto" w:fill="FFFFFF"/>
        </w:rPr>
        <w:t>月任意一个月为授权委托人、项目负责人正常缴纳养老保险。（应提供由劳动部门出具的养老保险证明；如当地社保管理部门明确的最大查询期与规定的月份不一致时，须提供社保管理部门的文件规定；已退休人员提供退休证明）</w:t>
      </w:r>
      <w:r>
        <w:rPr>
          <w:rFonts w:hint="eastAsia" w:ascii="宋体" w:hAnsi="Times New Roman" w:eastAsia="宋体" w:cs="宋体"/>
          <w:szCs w:val="21"/>
        </w:rPr>
        <w:t>；</w:t>
      </w:r>
    </w:p>
    <w:p>
      <w:pPr>
        <w:widowControl/>
        <w:shd w:val="clear" w:color="auto" w:fill="FFFFFF"/>
        <w:spacing w:line="440" w:lineRule="exact"/>
        <w:ind w:firstLine="437"/>
        <w:jc w:val="left"/>
        <w:rPr>
          <w:rFonts w:ascii="宋体" w:hAnsi="Times New Roman" w:eastAsia="宋体" w:cs="宋体"/>
          <w:szCs w:val="21"/>
        </w:rPr>
      </w:pPr>
      <w:r>
        <w:rPr>
          <w:rFonts w:hint="eastAsia" w:ascii="宋体" w:hAnsi="宋体" w:eastAsia="宋体" w:cs="宋体"/>
          <w:color w:val="000000"/>
          <w:kern w:val="0"/>
          <w:szCs w:val="21"/>
          <w:shd w:val="clear" w:color="auto" w:fill="FFFFFF"/>
        </w:rPr>
        <w:t>3.7</w:t>
      </w:r>
      <w:r>
        <w:rPr>
          <w:rFonts w:hint="eastAsia" w:ascii="宋体" w:hAnsi="宋体" w:eastAsia="宋体" w:cs="Times New Roman"/>
          <w:szCs w:val="21"/>
        </w:rPr>
        <w:t>投标人未被“信用中国”网站（www.creditchina.gov.cn）、“中国政府采购网”(www.ccgp.gov.cn)列入失信被执行人、重大税收违法案件当事人名单、政府采购严重违法失信行为记录名单（此项在</w:t>
      </w:r>
      <w:r>
        <w:rPr>
          <w:rFonts w:ascii="Times New Roman" w:hAnsi="Times New Roman" w:eastAsia="宋体" w:cs="Times New Roman"/>
          <w:szCs w:val="21"/>
        </w:rPr>
        <w:t>开标结束后，代理机构将通过</w:t>
      </w:r>
      <w:r>
        <w:rPr>
          <w:rFonts w:hint="eastAsia" w:ascii="宋体" w:hAnsi="宋体" w:eastAsia="宋体" w:cs="Times New Roman"/>
          <w:szCs w:val="21"/>
        </w:rPr>
        <w:t>“信用中国”网站（www.creditchina.gov.cn）、“中国政府采购网”(www.ccgp.gov.cn)</w:t>
      </w:r>
      <w:r>
        <w:rPr>
          <w:rFonts w:ascii="Times New Roman" w:hAnsi="Times New Roman" w:eastAsia="宋体" w:cs="Times New Roman"/>
          <w:szCs w:val="21"/>
        </w:rPr>
        <w:t>对投标人信用记录进行</w:t>
      </w:r>
      <w:r>
        <w:rPr>
          <w:rFonts w:hint="eastAsia" w:ascii="Times New Roman" w:hAnsi="Times New Roman" w:eastAsia="宋体" w:cs="Times New Roman"/>
          <w:szCs w:val="21"/>
        </w:rPr>
        <w:t>查询</w:t>
      </w:r>
      <w:r>
        <w:rPr>
          <w:rFonts w:ascii="Times New Roman" w:hAnsi="Times New Roman" w:eastAsia="宋体" w:cs="Times New Roman"/>
          <w:szCs w:val="21"/>
        </w:rPr>
        <w:t>，对列入失信被执行人、重大税收违法案件当事人名单、政府采购严重违法失信行为记录名单的投标人，其投标将被拒绝。</w:t>
      </w:r>
      <w:r>
        <w:rPr>
          <w:rFonts w:hint="eastAsia" w:ascii="宋体" w:hAnsi="宋体" w:eastAsia="宋体" w:cs="Times New Roman"/>
          <w:szCs w:val="21"/>
        </w:rPr>
        <w:t>）。</w:t>
      </w:r>
    </w:p>
    <w:p>
      <w:pPr>
        <w:adjustRightInd w:val="0"/>
        <w:snapToGrid w:val="0"/>
        <w:spacing w:line="440" w:lineRule="exact"/>
        <w:ind w:firstLine="420" w:firstLineChars="200"/>
        <w:rPr>
          <w:rFonts w:ascii="宋体" w:hAnsi="Times New Roman" w:eastAsia="宋体" w:cs="宋体"/>
          <w:szCs w:val="21"/>
        </w:rPr>
      </w:pPr>
      <w:r>
        <w:rPr>
          <w:rFonts w:hint="eastAsia" w:ascii="宋体" w:hAnsi="Times New Roman" w:eastAsia="宋体" w:cs="宋体"/>
          <w:szCs w:val="21"/>
        </w:rPr>
        <w:t>3.8符合相关法律、法规规定的其他要求。</w:t>
      </w:r>
    </w:p>
    <w:p>
      <w:pPr>
        <w:adjustRightInd w:val="0"/>
        <w:snapToGrid w:val="0"/>
        <w:spacing w:line="440" w:lineRule="exact"/>
        <w:ind w:firstLine="422" w:firstLineChars="200"/>
        <w:outlineLvl w:val="1"/>
        <w:rPr>
          <w:rFonts w:ascii="宋体" w:hAnsi="Times New Roman" w:eastAsia="宋体" w:cs="宋体"/>
          <w:b/>
          <w:bCs/>
          <w:szCs w:val="21"/>
        </w:rPr>
      </w:pPr>
      <w:r>
        <w:rPr>
          <w:rFonts w:hint="eastAsia" w:ascii="宋体" w:hAnsi="Times New Roman" w:eastAsia="宋体" w:cs="宋体"/>
          <w:b/>
          <w:bCs/>
          <w:szCs w:val="21"/>
        </w:rPr>
        <w:t>4. 评标方法</w:t>
      </w:r>
    </w:p>
    <w:p>
      <w:pPr>
        <w:adjustRightInd w:val="0"/>
        <w:snapToGrid w:val="0"/>
        <w:spacing w:line="440" w:lineRule="exact"/>
        <w:ind w:firstLine="420" w:firstLineChars="200"/>
        <w:rPr>
          <w:rFonts w:ascii="宋体" w:hAnsi="Times New Roman" w:eastAsia="宋体" w:cs="宋体"/>
          <w:szCs w:val="21"/>
        </w:rPr>
      </w:pPr>
      <w:r>
        <w:rPr>
          <w:rFonts w:hint="eastAsia" w:ascii="宋体" w:hAnsi="Times New Roman" w:eastAsia="宋体" w:cs="宋体"/>
          <w:szCs w:val="21"/>
        </w:rPr>
        <w:t>采用</w:t>
      </w:r>
      <w:r>
        <w:rPr>
          <w:rFonts w:hint="eastAsia" w:ascii="宋体" w:hAnsi="宋体" w:eastAsia="宋体" w:cs="宋体"/>
          <w:b/>
          <w:szCs w:val="21"/>
        </w:rPr>
        <w:t>经评审的最低投标价法</w:t>
      </w:r>
      <w:r>
        <w:rPr>
          <w:rFonts w:hint="eastAsia" w:ascii="宋体" w:hAnsi="Times New Roman" w:eastAsia="宋体" w:cs="宋体"/>
          <w:szCs w:val="21"/>
        </w:rPr>
        <w:t>，评标标准和方法详见招标文件第三章。</w:t>
      </w:r>
    </w:p>
    <w:p>
      <w:pPr>
        <w:adjustRightInd w:val="0"/>
        <w:snapToGrid w:val="0"/>
        <w:spacing w:line="440" w:lineRule="exact"/>
        <w:ind w:firstLine="422" w:firstLineChars="200"/>
        <w:outlineLvl w:val="1"/>
        <w:rPr>
          <w:rFonts w:ascii="宋体" w:hAnsi="Times New Roman" w:eastAsia="宋体" w:cs="宋体"/>
          <w:b/>
          <w:bCs/>
          <w:szCs w:val="21"/>
        </w:rPr>
      </w:pPr>
      <w:r>
        <w:rPr>
          <w:rFonts w:hint="eastAsia" w:ascii="宋体" w:hAnsi="Times New Roman" w:eastAsia="宋体" w:cs="宋体"/>
          <w:b/>
          <w:bCs/>
          <w:szCs w:val="21"/>
        </w:rPr>
        <w:t>5. 招标文件的获取</w:t>
      </w:r>
    </w:p>
    <w:p>
      <w:pPr>
        <w:spacing w:line="440" w:lineRule="exact"/>
        <w:ind w:firstLine="420" w:firstLineChars="200"/>
        <w:rPr>
          <w:rFonts w:ascii="宋体" w:hAnsi="宋体" w:eastAsia="宋体" w:cs="宋体"/>
          <w:szCs w:val="21"/>
        </w:rPr>
      </w:pPr>
      <w:r>
        <w:rPr>
          <w:rFonts w:hint="eastAsia" w:ascii="宋体" w:hAnsi="宋体" w:eastAsia="宋体" w:cs="宋体"/>
          <w:szCs w:val="21"/>
        </w:rPr>
        <w:t>5.1获取时间：</w:t>
      </w:r>
      <w:r>
        <w:rPr>
          <w:rFonts w:hint="eastAsia" w:ascii="宋体" w:hAnsi="宋体" w:eastAsia="宋体" w:cs="宋体"/>
          <w:b/>
          <w:szCs w:val="21"/>
          <w:u w:val="single"/>
        </w:rPr>
        <w:t xml:space="preserve">2025年  6 月 10  日至 2025年 6 月 16 日 </w:t>
      </w:r>
      <w:r>
        <w:rPr>
          <w:rFonts w:hint="eastAsia" w:ascii="宋体" w:hAnsi="宋体" w:eastAsia="宋体" w:cs="宋体"/>
          <w:szCs w:val="21"/>
        </w:rPr>
        <w:t>。</w:t>
      </w:r>
    </w:p>
    <w:p>
      <w:pPr>
        <w:spacing w:line="440" w:lineRule="exact"/>
        <w:ind w:firstLine="420" w:firstLineChars="200"/>
        <w:rPr>
          <w:rFonts w:ascii="宋体" w:hAnsi="宋体" w:eastAsia="宋体" w:cs="宋体"/>
          <w:b/>
          <w:color w:val="000000"/>
          <w:szCs w:val="21"/>
          <w:u w:val="single"/>
        </w:rPr>
      </w:pPr>
      <w:r>
        <w:rPr>
          <w:rFonts w:hint="eastAsia" w:ascii="宋体" w:hAnsi="宋体" w:eastAsia="宋体" w:cs="宋体"/>
          <w:szCs w:val="21"/>
        </w:rPr>
        <w:t>5.2获取方式：</w:t>
      </w:r>
      <w:r>
        <w:rPr>
          <w:rFonts w:hint="eastAsia" w:ascii="宋体" w:hAnsi="宋体" w:eastAsia="宋体" w:cs="宋体"/>
          <w:b/>
          <w:szCs w:val="21"/>
          <w:u w:val="single"/>
        </w:rPr>
        <w:t>投标人使用“江苏CA数字证书”登录“仪征</w:t>
      </w:r>
      <w:r>
        <w:rPr>
          <w:rFonts w:hint="eastAsia" w:ascii="宋体" w:hAnsi="宋体" w:eastAsia="宋体" w:cs="宋体"/>
          <w:b/>
          <w:color w:val="000000"/>
          <w:szCs w:val="21"/>
          <w:u w:val="single"/>
        </w:rPr>
        <w:t>市限额以下公共资源交易平台”获取   。</w:t>
      </w:r>
    </w:p>
    <w:p>
      <w:pPr>
        <w:spacing w:line="44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本招标公告及招标文件中“电子招标投标交易平台”是指：仪征市限额以下公共资源交易平台；</w:t>
      </w:r>
    </w:p>
    <w:p>
      <w:pPr>
        <w:adjustRightInd w:val="0"/>
        <w:snapToGrid w:val="0"/>
        <w:spacing w:line="440" w:lineRule="exact"/>
        <w:ind w:firstLine="420" w:firstLineChars="200"/>
        <w:rPr>
          <w:rFonts w:ascii="宋体" w:hAnsi="Times New Roman" w:eastAsia="宋体" w:cs="宋体"/>
          <w:szCs w:val="21"/>
        </w:rPr>
      </w:pPr>
      <w:r>
        <w:rPr>
          <w:rFonts w:hint="eastAsia" w:ascii="宋体" w:hAnsi="宋体" w:eastAsia="宋体" w:cs="宋体"/>
          <w:szCs w:val="21"/>
        </w:rPr>
        <w:t>5.3 投标工具使用等相关费用150元/标段，售后不退。</w:t>
      </w:r>
    </w:p>
    <w:p>
      <w:pPr>
        <w:adjustRightInd w:val="0"/>
        <w:snapToGrid w:val="0"/>
        <w:spacing w:line="440" w:lineRule="exact"/>
        <w:ind w:firstLine="422" w:firstLineChars="200"/>
        <w:outlineLvl w:val="1"/>
        <w:rPr>
          <w:rFonts w:ascii="宋体" w:hAnsi="Times New Roman" w:eastAsia="宋体" w:cs="宋体"/>
          <w:b/>
          <w:bCs/>
          <w:szCs w:val="21"/>
        </w:rPr>
      </w:pPr>
      <w:r>
        <w:rPr>
          <w:rFonts w:hint="eastAsia" w:ascii="宋体" w:hAnsi="Times New Roman" w:eastAsia="宋体" w:cs="宋体"/>
          <w:b/>
          <w:bCs/>
          <w:szCs w:val="21"/>
        </w:rPr>
        <w:t>6. 投标文件的递交</w:t>
      </w:r>
    </w:p>
    <w:p>
      <w:pPr>
        <w:spacing w:line="440" w:lineRule="exact"/>
        <w:ind w:firstLine="435"/>
        <w:rPr>
          <w:rFonts w:ascii="宋体" w:hAnsi="宋体" w:eastAsia="宋体" w:cs="宋体"/>
          <w:color w:val="000000"/>
          <w:szCs w:val="21"/>
        </w:rPr>
      </w:pPr>
      <w:r>
        <w:rPr>
          <w:rFonts w:hint="eastAsia" w:ascii="宋体" w:hAnsi="宋体" w:eastAsia="宋体" w:cs="宋体"/>
          <w:color w:val="000000"/>
          <w:szCs w:val="21"/>
        </w:rPr>
        <w:t xml:space="preserve">6.1 </w:t>
      </w:r>
      <w:bookmarkStart w:id="10" w:name="OLE_LINK4"/>
      <w:r>
        <w:rPr>
          <w:rFonts w:hint="eastAsia" w:ascii="宋体" w:hAnsi="宋体" w:eastAsia="宋体" w:cs="宋体"/>
          <w:color w:val="000000"/>
          <w:szCs w:val="21"/>
        </w:rPr>
        <w:t>投标截止时间和开标时间：</w:t>
      </w:r>
      <w:bookmarkEnd w:id="10"/>
      <w:r>
        <w:rPr>
          <w:rFonts w:hint="eastAsia" w:ascii="宋体" w:hAnsi="宋体" w:eastAsia="宋体" w:cs="宋体"/>
          <w:b/>
          <w:color w:val="000000"/>
          <w:szCs w:val="21"/>
          <w:u w:val="single"/>
        </w:rPr>
        <w:t>2025</w:t>
      </w:r>
      <w:r>
        <w:rPr>
          <w:rFonts w:hint="eastAsia" w:ascii="宋体" w:hAnsi="宋体" w:eastAsia="宋体" w:cs="宋体"/>
          <w:b/>
          <w:color w:val="000000"/>
          <w:szCs w:val="21"/>
        </w:rPr>
        <w:t>年</w:t>
      </w:r>
      <w:r>
        <w:rPr>
          <w:rFonts w:hint="eastAsia" w:ascii="宋体" w:hAnsi="宋体" w:eastAsia="宋体" w:cs="宋体"/>
          <w:b/>
          <w:color w:val="000000"/>
          <w:szCs w:val="21"/>
          <w:u w:val="single"/>
        </w:rPr>
        <w:t xml:space="preserve">  6 </w:t>
      </w:r>
      <w:r>
        <w:rPr>
          <w:rFonts w:hint="eastAsia" w:ascii="宋体" w:hAnsi="宋体" w:eastAsia="宋体" w:cs="宋体"/>
          <w:b/>
          <w:color w:val="000000"/>
          <w:szCs w:val="21"/>
        </w:rPr>
        <w:t>月</w:t>
      </w:r>
      <w:r>
        <w:rPr>
          <w:rFonts w:hint="eastAsia" w:ascii="宋体" w:hAnsi="宋体" w:eastAsia="宋体" w:cs="宋体"/>
          <w:b/>
          <w:color w:val="000000"/>
          <w:szCs w:val="21"/>
          <w:u w:val="single"/>
        </w:rPr>
        <w:t xml:space="preserve"> 20  </w:t>
      </w:r>
      <w:r>
        <w:rPr>
          <w:rFonts w:hint="eastAsia" w:ascii="宋体" w:hAnsi="宋体" w:eastAsia="宋体" w:cs="宋体"/>
          <w:b/>
          <w:color w:val="000000"/>
          <w:szCs w:val="21"/>
        </w:rPr>
        <w:t>日</w:t>
      </w:r>
      <w:r>
        <w:rPr>
          <w:rFonts w:hint="eastAsia" w:ascii="宋体" w:hAnsi="宋体" w:eastAsia="宋体" w:cs="宋体"/>
          <w:b/>
          <w:color w:val="000000"/>
          <w:szCs w:val="21"/>
          <w:u w:val="single"/>
        </w:rPr>
        <w:t>14</w:t>
      </w:r>
      <w:r>
        <w:rPr>
          <w:rFonts w:hint="eastAsia" w:ascii="宋体" w:hAnsi="宋体" w:eastAsia="宋体" w:cs="宋体"/>
          <w:b/>
          <w:color w:val="000000"/>
          <w:szCs w:val="21"/>
        </w:rPr>
        <w:t>时</w:t>
      </w:r>
      <w:r>
        <w:rPr>
          <w:rFonts w:hint="eastAsia" w:ascii="宋体" w:hAnsi="宋体" w:eastAsia="宋体" w:cs="宋体"/>
          <w:b/>
          <w:color w:val="000000"/>
          <w:szCs w:val="21"/>
          <w:u w:val="single"/>
        </w:rPr>
        <w:t>30</w:t>
      </w:r>
      <w:r>
        <w:rPr>
          <w:rFonts w:hint="eastAsia" w:ascii="宋体" w:hAnsi="宋体" w:eastAsia="宋体" w:cs="宋体"/>
          <w:b/>
          <w:color w:val="000000"/>
          <w:szCs w:val="21"/>
        </w:rPr>
        <w:t>分（北京时间）</w:t>
      </w:r>
      <w:r>
        <w:rPr>
          <w:rFonts w:hint="eastAsia" w:ascii="宋体" w:hAnsi="宋体" w:eastAsia="宋体" w:cs="宋体"/>
          <w:color w:val="000000"/>
          <w:szCs w:val="21"/>
        </w:rPr>
        <w:t xml:space="preserve"> </w:t>
      </w:r>
    </w:p>
    <w:p>
      <w:pPr>
        <w:spacing w:line="440" w:lineRule="exact"/>
        <w:ind w:firstLine="435"/>
        <w:rPr>
          <w:rFonts w:ascii="宋体" w:hAnsi="宋体" w:eastAsia="宋体" w:cs="宋体"/>
          <w:color w:val="000000"/>
          <w:szCs w:val="21"/>
        </w:rPr>
      </w:pPr>
      <w:r>
        <w:rPr>
          <w:rFonts w:hint="eastAsia" w:ascii="宋体" w:hAnsi="宋体" w:eastAsia="宋体" w:cs="宋体"/>
          <w:color w:val="000000"/>
          <w:szCs w:val="21"/>
        </w:rPr>
        <w:t>6.2开标现场地址：扬州市聚力项目管理有限公司开标室（仪征经济开发区闽泰大道9号，仪征市高新技术创业园内A6号楼三楼）。</w:t>
      </w:r>
    </w:p>
    <w:p>
      <w:pPr>
        <w:spacing w:line="440" w:lineRule="exact"/>
        <w:ind w:firstLine="435"/>
        <w:rPr>
          <w:rFonts w:ascii="宋体" w:hAnsi="宋体" w:eastAsia="宋体" w:cs="宋体"/>
          <w:color w:val="000000"/>
          <w:szCs w:val="21"/>
        </w:rPr>
      </w:pPr>
      <w:r>
        <w:rPr>
          <w:rFonts w:hint="eastAsia" w:ascii="宋体" w:hAnsi="宋体" w:eastAsia="宋体" w:cs="宋体"/>
          <w:color w:val="000000"/>
          <w:szCs w:val="21"/>
        </w:rPr>
        <w:t>6.3投标文件提交：投标人须在投标截止时间前通过“电子招标投标交易平台”提交电子投标文件。</w:t>
      </w:r>
    </w:p>
    <w:p>
      <w:pPr>
        <w:adjustRightInd w:val="0"/>
        <w:snapToGrid w:val="0"/>
        <w:spacing w:line="440" w:lineRule="exact"/>
        <w:ind w:firstLine="420" w:firstLineChars="200"/>
        <w:rPr>
          <w:rFonts w:ascii="宋体" w:hAnsi="Times New Roman" w:eastAsia="宋体" w:cs="宋体"/>
          <w:szCs w:val="21"/>
        </w:rPr>
      </w:pPr>
      <w:r>
        <w:rPr>
          <w:rFonts w:hint="eastAsia" w:ascii="宋体" w:hAnsi="宋体" w:eastAsia="宋体" w:cs="宋体"/>
          <w:color w:val="000000"/>
          <w:szCs w:val="21"/>
        </w:rPr>
        <w:t>6.4本项目采用不见面开标：投标人无需到达开标现场，具体要求详见招标文件。</w:t>
      </w:r>
    </w:p>
    <w:p>
      <w:pPr>
        <w:topLinePunct/>
        <w:adjustRightInd w:val="0"/>
        <w:snapToGrid w:val="0"/>
        <w:spacing w:line="440" w:lineRule="exact"/>
        <w:ind w:firstLine="422" w:firstLineChars="200"/>
        <w:rPr>
          <w:rFonts w:ascii="宋体" w:hAnsi="Times New Roman" w:eastAsia="宋体" w:cs="宋体"/>
          <w:szCs w:val="21"/>
        </w:rPr>
      </w:pPr>
      <w:r>
        <w:rPr>
          <w:rFonts w:hint="eastAsia" w:ascii="宋体" w:hAnsi="Times New Roman" w:eastAsia="宋体" w:cs="宋体"/>
          <w:b/>
          <w:bCs/>
          <w:szCs w:val="21"/>
        </w:rPr>
        <w:t>7.资格审查</w:t>
      </w:r>
    </w:p>
    <w:p>
      <w:pPr>
        <w:topLinePunct/>
        <w:adjustRightInd w:val="0"/>
        <w:snapToGrid w:val="0"/>
        <w:spacing w:line="440" w:lineRule="exact"/>
        <w:ind w:firstLine="420" w:firstLineChars="200"/>
        <w:rPr>
          <w:rFonts w:ascii="宋体" w:hAnsi="Times New Roman" w:eastAsia="宋体" w:cs="宋体"/>
          <w:szCs w:val="21"/>
        </w:rPr>
      </w:pPr>
      <w:r>
        <w:rPr>
          <w:rFonts w:hint="eastAsia" w:ascii="宋体" w:hAnsi="Times New Roman" w:eastAsia="宋体" w:cs="宋体"/>
          <w:szCs w:val="21"/>
        </w:rPr>
        <w:t>采用资格后审方式进行资格审查。</w:t>
      </w:r>
    </w:p>
    <w:p>
      <w:pPr>
        <w:adjustRightInd w:val="0"/>
        <w:snapToGrid w:val="0"/>
        <w:spacing w:line="440" w:lineRule="exact"/>
        <w:ind w:firstLine="422" w:firstLineChars="200"/>
        <w:outlineLvl w:val="1"/>
        <w:rPr>
          <w:rFonts w:ascii="宋体" w:hAnsi="Times New Roman" w:eastAsia="宋体" w:cs="宋体"/>
          <w:b/>
          <w:bCs/>
          <w:szCs w:val="21"/>
        </w:rPr>
      </w:pPr>
      <w:r>
        <w:rPr>
          <w:rFonts w:hint="eastAsia" w:ascii="宋体" w:hAnsi="Times New Roman" w:eastAsia="宋体" w:cs="宋体"/>
          <w:b/>
          <w:bCs/>
          <w:szCs w:val="21"/>
        </w:rPr>
        <w:t>8.发布公告的媒介</w:t>
      </w:r>
    </w:p>
    <w:p>
      <w:pPr>
        <w:adjustRightInd w:val="0"/>
        <w:snapToGrid w:val="0"/>
        <w:spacing w:line="440" w:lineRule="exact"/>
        <w:ind w:firstLine="420" w:firstLineChars="200"/>
        <w:rPr>
          <w:rFonts w:ascii="宋体" w:hAnsi="Times New Roman" w:eastAsia="宋体" w:cs="宋体"/>
          <w:szCs w:val="21"/>
        </w:rPr>
      </w:pPr>
      <w:r>
        <w:rPr>
          <w:rFonts w:hint="eastAsia" w:ascii="宋体" w:hAnsi="宋体" w:eastAsia="宋体" w:cs="Times New Roman"/>
          <w:color w:val="000000"/>
          <w:szCs w:val="21"/>
        </w:rPr>
        <w:t>本次招标公告在</w:t>
      </w:r>
      <w:r>
        <w:rPr>
          <w:rFonts w:hint="eastAsia" w:ascii="宋体" w:hAnsi="宋体" w:eastAsia="宋体" w:cs="Times New Roman"/>
          <w:b/>
          <w:color w:val="000000"/>
          <w:szCs w:val="21"/>
        </w:rPr>
        <w:t>仪征市限额以下公共资源交易平台（</w:t>
      </w:r>
      <w:r>
        <w:rPr>
          <w:rFonts w:ascii="宋体" w:hAnsi="宋体" w:eastAsia="宋体" w:cs="Times New Roman"/>
          <w:b/>
          <w:color w:val="000000"/>
          <w:szCs w:val="21"/>
        </w:rPr>
        <w:t>http://yizheng.etrading.cn</w:t>
      </w:r>
      <w:r>
        <w:rPr>
          <w:rFonts w:hint="eastAsia" w:ascii="宋体" w:hAnsi="宋体" w:eastAsia="宋体" w:cs="Times New Roman"/>
          <w:b/>
          <w:color w:val="000000"/>
          <w:szCs w:val="21"/>
        </w:rPr>
        <w:t>）</w:t>
      </w:r>
      <w:r>
        <w:rPr>
          <w:rFonts w:hint="eastAsia" w:ascii="宋体" w:hAnsi="宋体" w:eastAsia="宋体" w:cs="Times New Roman"/>
          <w:color w:val="000000"/>
          <w:szCs w:val="21"/>
        </w:rPr>
        <w:t>上发布</w:t>
      </w:r>
    </w:p>
    <w:p>
      <w:pPr>
        <w:adjustRightInd w:val="0"/>
        <w:snapToGrid w:val="0"/>
        <w:spacing w:line="440" w:lineRule="exact"/>
        <w:ind w:firstLine="422" w:firstLineChars="200"/>
        <w:outlineLvl w:val="1"/>
        <w:rPr>
          <w:rFonts w:ascii="宋体" w:hAnsi="Times New Roman" w:eastAsia="宋体" w:cs="宋体"/>
          <w:b/>
          <w:bCs/>
          <w:szCs w:val="21"/>
        </w:rPr>
      </w:pPr>
      <w:r>
        <w:rPr>
          <w:rFonts w:hint="eastAsia" w:ascii="宋体" w:hAnsi="Times New Roman" w:eastAsia="宋体" w:cs="宋体"/>
          <w:b/>
          <w:bCs/>
          <w:szCs w:val="21"/>
        </w:rPr>
        <w:t>10.联系方式</w:t>
      </w:r>
    </w:p>
    <w:tbl>
      <w:tblPr>
        <w:tblStyle w:val="23"/>
        <w:tblW w:w="0" w:type="auto"/>
        <w:tblInd w:w="188" w:type="dxa"/>
        <w:tblLayout w:type="fixed"/>
        <w:tblCellMar>
          <w:top w:w="0" w:type="dxa"/>
          <w:left w:w="108" w:type="dxa"/>
          <w:bottom w:w="0" w:type="dxa"/>
          <w:right w:w="108" w:type="dxa"/>
        </w:tblCellMar>
      </w:tblPr>
      <w:tblGrid>
        <w:gridCol w:w="4501"/>
        <w:gridCol w:w="4502"/>
      </w:tblGrid>
      <w:tr>
        <w:tblPrEx>
          <w:tblCellMar>
            <w:top w:w="0" w:type="dxa"/>
            <w:left w:w="108" w:type="dxa"/>
            <w:bottom w:w="0" w:type="dxa"/>
            <w:right w:w="108" w:type="dxa"/>
          </w:tblCellMar>
        </w:tblPrEx>
        <w:tc>
          <w:tcPr>
            <w:tcW w:w="4501" w:type="dxa"/>
            <w:tcBorders>
              <w:top w:val="nil"/>
              <w:left w:val="nil"/>
              <w:bottom w:val="nil"/>
              <w:right w:val="nil"/>
            </w:tcBorders>
          </w:tcPr>
          <w:p>
            <w:pPr>
              <w:adjustRightInd w:val="0"/>
              <w:snapToGrid w:val="0"/>
              <w:spacing w:line="440" w:lineRule="exact"/>
              <w:ind w:left="945" w:hanging="945" w:hangingChars="450"/>
              <w:rPr>
                <w:rFonts w:ascii="宋体" w:hAnsi="Times New Roman" w:eastAsia="宋体" w:cs="宋体"/>
                <w:szCs w:val="20"/>
              </w:rPr>
            </w:pPr>
            <w:r>
              <w:rPr>
                <w:rFonts w:hint="eastAsia" w:ascii="宋体" w:hAnsi="Times New Roman" w:eastAsia="宋体" w:cs="宋体"/>
                <w:szCs w:val="20"/>
              </w:rPr>
              <w:t>招标人：仪征市博润建材商贸有限公司</w:t>
            </w:r>
          </w:p>
        </w:tc>
        <w:tc>
          <w:tcPr>
            <w:tcW w:w="4502" w:type="dxa"/>
            <w:tcBorders>
              <w:top w:val="nil"/>
              <w:left w:val="nil"/>
              <w:bottom w:val="nil"/>
              <w:right w:val="nil"/>
            </w:tcBorders>
          </w:tcPr>
          <w:p>
            <w:pPr>
              <w:adjustRightInd w:val="0"/>
              <w:snapToGrid w:val="0"/>
              <w:spacing w:line="440" w:lineRule="exact"/>
              <w:rPr>
                <w:rFonts w:ascii="宋体" w:hAnsi="Times New Roman" w:eastAsia="宋体" w:cs="宋体"/>
                <w:szCs w:val="20"/>
              </w:rPr>
            </w:pPr>
            <w:r>
              <w:rPr>
                <w:rFonts w:hint="eastAsia" w:ascii="宋体" w:hAnsi="Times New Roman" w:eastAsia="宋体" w:cs="宋体"/>
                <w:szCs w:val="20"/>
              </w:rPr>
              <w:t>招标代理：扬州市聚力项目管理有限公司</w:t>
            </w:r>
          </w:p>
        </w:tc>
      </w:tr>
      <w:tr>
        <w:tblPrEx>
          <w:tblCellMar>
            <w:top w:w="0" w:type="dxa"/>
            <w:left w:w="108" w:type="dxa"/>
            <w:bottom w:w="0" w:type="dxa"/>
            <w:right w:w="108" w:type="dxa"/>
          </w:tblCellMar>
        </w:tblPrEx>
        <w:tc>
          <w:tcPr>
            <w:tcW w:w="4501" w:type="dxa"/>
            <w:tcBorders>
              <w:top w:val="nil"/>
              <w:left w:val="nil"/>
              <w:bottom w:val="nil"/>
              <w:right w:val="nil"/>
            </w:tcBorders>
          </w:tcPr>
          <w:p>
            <w:pPr>
              <w:adjustRightInd w:val="0"/>
              <w:snapToGrid w:val="0"/>
              <w:spacing w:line="440" w:lineRule="exact"/>
              <w:rPr>
                <w:rFonts w:ascii="宋体" w:hAnsi="Times New Roman" w:eastAsia="宋体" w:cs="宋体"/>
                <w:szCs w:val="20"/>
              </w:rPr>
            </w:pPr>
            <w:r>
              <w:rPr>
                <w:rFonts w:hint="eastAsia" w:ascii="宋体" w:hAnsi="Times New Roman" w:eastAsia="宋体" w:cs="宋体"/>
                <w:szCs w:val="20"/>
              </w:rPr>
              <w:t>地址：</w:t>
            </w:r>
            <w:r>
              <w:rPr>
                <w:rFonts w:hint="eastAsia" w:ascii="宋体" w:cs="宋体"/>
              </w:rPr>
              <w:t>仪征市解放东路818号</w:t>
            </w:r>
          </w:p>
        </w:tc>
        <w:tc>
          <w:tcPr>
            <w:tcW w:w="4502" w:type="dxa"/>
            <w:tcBorders>
              <w:top w:val="nil"/>
              <w:left w:val="nil"/>
              <w:bottom w:val="nil"/>
              <w:right w:val="nil"/>
            </w:tcBorders>
          </w:tcPr>
          <w:p>
            <w:pPr>
              <w:adjustRightInd w:val="0"/>
              <w:snapToGrid w:val="0"/>
              <w:spacing w:line="440" w:lineRule="exact"/>
              <w:rPr>
                <w:rFonts w:ascii="宋体" w:hAnsi="Times New Roman" w:eastAsia="宋体" w:cs="宋体"/>
                <w:szCs w:val="20"/>
              </w:rPr>
            </w:pPr>
            <w:r>
              <w:rPr>
                <w:rFonts w:hint="eastAsia" w:ascii="宋体" w:hAnsi="Times New Roman" w:eastAsia="宋体" w:cs="宋体"/>
                <w:szCs w:val="20"/>
              </w:rPr>
              <w:t>地址：仪征市闽泰大道9号</w:t>
            </w:r>
          </w:p>
        </w:tc>
      </w:tr>
      <w:tr>
        <w:tblPrEx>
          <w:tblCellMar>
            <w:top w:w="0" w:type="dxa"/>
            <w:left w:w="108" w:type="dxa"/>
            <w:bottom w:w="0" w:type="dxa"/>
            <w:right w:w="108" w:type="dxa"/>
          </w:tblCellMar>
        </w:tblPrEx>
        <w:tc>
          <w:tcPr>
            <w:tcW w:w="4501" w:type="dxa"/>
            <w:tcBorders>
              <w:top w:val="nil"/>
              <w:left w:val="nil"/>
              <w:bottom w:val="nil"/>
              <w:right w:val="nil"/>
            </w:tcBorders>
          </w:tcPr>
          <w:p>
            <w:pPr>
              <w:adjustRightInd w:val="0"/>
              <w:snapToGrid w:val="0"/>
              <w:spacing w:line="440" w:lineRule="exact"/>
              <w:rPr>
                <w:rFonts w:ascii="宋体" w:hAnsi="Times New Roman" w:eastAsia="宋体" w:cs="宋体"/>
                <w:szCs w:val="20"/>
              </w:rPr>
            </w:pPr>
            <w:r>
              <w:rPr>
                <w:rFonts w:hint="eastAsia" w:ascii="宋体" w:hAnsi="Times New Roman" w:eastAsia="宋体" w:cs="宋体"/>
                <w:szCs w:val="20"/>
              </w:rPr>
              <w:t>邮编： 211400</w:t>
            </w:r>
          </w:p>
        </w:tc>
        <w:tc>
          <w:tcPr>
            <w:tcW w:w="4502" w:type="dxa"/>
            <w:tcBorders>
              <w:top w:val="nil"/>
              <w:left w:val="nil"/>
              <w:bottom w:val="nil"/>
              <w:right w:val="nil"/>
            </w:tcBorders>
          </w:tcPr>
          <w:p>
            <w:pPr>
              <w:adjustRightInd w:val="0"/>
              <w:snapToGrid w:val="0"/>
              <w:spacing w:line="440" w:lineRule="exact"/>
              <w:rPr>
                <w:rFonts w:ascii="宋体" w:hAnsi="Times New Roman" w:eastAsia="宋体" w:cs="宋体"/>
                <w:szCs w:val="20"/>
              </w:rPr>
            </w:pPr>
            <w:r>
              <w:rPr>
                <w:rFonts w:hint="eastAsia" w:ascii="宋体" w:hAnsi="Times New Roman" w:eastAsia="宋体" w:cs="宋体"/>
                <w:szCs w:val="20"/>
              </w:rPr>
              <w:t>邮编：211400</w:t>
            </w:r>
          </w:p>
        </w:tc>
      </w:tr>
      <w:tr>
        <w:tblPrEx>
          <w:tblCellMar>
            <w:top w:w="0" w:type="dxa"/>
            <w:left w:w="108" w:type="dxa"/>
            <w:bottom w:w="0" w:type="dxa"/>
            <w:right w:w="108" w:type="dxa"/>
          </w:tblCellMar>
        </w:tblPrEx>
        <w:tc>
          <w:tcPr>
            <w:tcW w:w="4501" w:type="dxa"/>
            <w:tcBorders>
              <w:top w:val="nil"/>
              <w:left w:val="nil"/>
              <w:bottom w:val="nil"/>
              <w:right w:val="nil"/>
            </w:tcBorders>
          </w:tcPr>
          <w:p>
            <w:pPr>
              <w:adjustRightInd w:val="0"/>
              <w:snapToGrid w:val="0"/>
              <w:spacing w:line="440" w:lineRule="exact"/>
              <w:rPr>
                <w:rFonts w:ascii="宋体" w:hAnsi="Times New Roman" w:eastAsia="宋体" w:cs="宋体"/>
                <w:szCs w:val="20"/>
              </w:rPr>
            </w:pPr>
            <w:r>
              <w:rPr>
                <w:rFonts w:hint="eastAsia" w:ascii="宋体" w:hAnsi="Times New Roman" w:eastAsia="宋体" w:cs="宋体"/>
                <w:szCs w:val="20"/>
              </w:rPr>
              <w:t>联系人：</w:t>
            </w:r>
            <w:r>
              <w:rPr>
                <w:rFonts w:hint="eastAsia" w:ascii="宋体" w:cs="宋体"/>
              </w:rPr>
              <w:t>凌广志</w:t>
            </w:r>
            <w:r>
              <w:rPr>
                <w:rFonts w:ascii="宋体" w:hAnsi="Times New Roman" w:eastAsia="宋体" w:cs="宋体"/>
                <w:szCs w:val="20"/>
              </w:rPr>
              <w:t xml:space="preserve"> </w:t>
            </w:r>
          </w:p>
        </w:tc>
        <w:tc>
          <w:tcPr>
            <w:tcW w:w="4502" w:type="dxa"/>
            <w:tcBorders>
              <w:top w:val="nil"/>
              <w:left w:val="nil"/>
              <w:bottom w:val="nil"/>
              <w:right w:val="nil"/>
            </w:tcBorders>
          </w:tcPr>
          <w:p>
            <w:pPr>
              <w:adjustRightInd w:val="0"/>
              <w:snapToGrid w:val="0"/>
              <w:spacing w:line="440" w:lineRule="exact"/>
              <w:rPr>
                <w:rFonts w:ascii="宋体" w:hAnsi="Times New Roman" w:eastAsia="宋体" w:cs="宋体"/>
                <w:szCs w:val="20"/>
              </w:rPr>
            </w:pPr>
            <w:r>
              <w:rPr>
                <w:rFonts w:hint="eastAsia" w:ascii="宋体" w:hAnsi="Times New Roman" w:eastAsia="宋体" w:cs="宋体"/>
                <w:szCs w:val="20"/>
              </w:rPr>
              <w:t>联系人：王璐</w:t>
            </w:r>
          </w:p>
        </w:tc>
      </w:tr>
      <w:tr>
        <w:tblPrEx>
          <w:tblCellMar>
            <w:top w:w="0" w:type="dxa"/>
            <w:left w:w="108" w:type="dxa"/>
            <w:bottom w:w="0" w:type="dxa"/>
            <w:right w:w="108" w:type="dxa"/>
          </w:tblCellMar>
        </w:tblPrEx>
        <w:tc>
          <w:tcPr>
            <w:tcW w:w="4501" w:type="dxa"/>
            <w:tcBorders>
              <w:top w:val="nil"/>
              <w:left w:val="nil"/>
              <w:bottom w:val="nil"/>
              <w:right w:val="nil"/>
            </w:tcBorders>
          </w:tcPr>
          <w:p>
            <w:pPr>
              <w:adjustRightInd w:val="0"/>
              <w:snapToGrid w:val="0"/>
              <w:spacing w:line="440" w:lineRule="exact"/>
              <w:rPr>
                <w:rFonts w:ascii="宋体" w:hAnsi="Times New Roman" w:eastAsia="宋体" w:cs="宋体"/>
                <w:szCs w:val="20"/>
              </w:rPr>
            </w:pPr>
            <w:r>
              <w:rPr>
                <w:rFonts w:hint="eastAsia" w:ascii="宋体" w:hAnsi="Times New Roman" w:eastAsia="宋体" w:cs="宋体"/>
                <w:szCs w:val="20"/>
              </w:rPr>
              <w:t>电话：</w:t>
            </w:r>
            <w:r>
              <w:rPr>
                <w:rFonts w:ascii="宋体" w:cs="宋体"/>
              </w:rPr>
              <w:t>0514-83585696</w:t>
            </w:r>
            <w:r>
              <w:rPr>
                <w:rFonts w:hint="eastAsia" w:ascii="宋体" w:hAnsi="Times New Roman" w:eastAsia="宋体" w:cs="宋体"/>
                <w:szCs w:val="20"/>
              </w:rPr>
              <w:t xml:space="preserve"> </w:t>
            </w:r>
          </w:p>
        </w:tc>
        <w:tc>
          <w:tcPr>
            <w:tcW w:w="4502" w:type="dxa"/>
            <w:tcBorders>
              <w:top w:val="nil"/>
              <w:left w:val="nil"/>
              <w:bottom w:val="nil"/>
              <w:right w:val="nil"/>
            </w:tcBorders>
          </w:tcPr>
          <w:p>
            <w:pPr>
              <w:adjustRightInd w:val="0"/>
              <w:snapToGrid w:val="0"/>
              <w:spacing w:line="440" w:lineRule="exact"/>
              <w:rPr>
                <w:rFonts w:ascii="宋体" w:hAnsi="Times New Roman" w:eastAsia="宋体" w:cs="宋体"/>
                <w:szCs w:val="20"/>
              </w:rPr>
            </w:pPr>
            <w:r>
              <w:rPr>
                <w:rFonts w:hint="eastAsia" w:ascii="宋体" w:hAnsi="Times New Roman" w:eastAsia="宋体" w:cs="宋体"/>
                <w:szCs w:val="20"/>
              </w:rPr>
              <w:t>电话：18762779706</w:t>
            </w:r>
          </w:p>
        </w:tc>
      </w:tr>
      <w:tr>
        <w:tblPrEx>
          <w:tblCellMar>
            <w:top w:w="0" w:type="dxa"/>
            <w:left w:w="108" w:type="dxa"/>
            <w:bottom w:w="0" w:type="dxa"/>
            <w:right w:w="108" w:type="dxa"/>
          </w:tblCellMar>
        </w:tblPrEx>
        <w:tc>
          <w:tcPr>
            <w:tcW w:w="4501" w:type="dxa"/>
            <w:tcBorders>
              <w:top w:val="nil"/>
              <w:left w:val="nil"/>
              <w:bottom w:val="nil"/>
              <w:right w:val="nil"/>
            </w:tcBorders>
          </w:tcPr>
          <w:p>
            <w:pPr>
              <w:adjustRightInd w:val="0"/>
              <w:snapToGrid w:val="0"/>
              <w:spacing w:line="440" w:lineRule="exact"/>
              <w:rPr>
                <w:rFonts w:ascii="宋体" w:hAnsi="Times New Roman" w:eastAsia="宋体" w:cs="宋体"/>
                <w:szCs w:val="20"/>
              </w:rPr>
            </w:pPr>
            <w:r>
              <w:rPr>
                <w:rFonts w:hint="eastAsia" w:ascii="宋体" w:hAnsi="Times New Roman" w:eastAsia="宋体" w:cs="宋体"/>
                <w:szCs w:val="20"/>
              </w:rPr>
              <w:t>电子邮箱：/</w:t>
            </w:r>
          </w:p>
        </w:tc>
        <w:tc>
          <w:tcPr>
            <w:tcW w:w="4502" w:type="dxa"/>
            <w:tcBorders>
              <w:top w:val="nil"/>
              <w:left w:val="nil"/>
              <w:bottom w:val="nil"/>
              <w:right w:val="nil"/>
            </w:tcBorders>
          </w:tcPr>
          <w:p>
            <w:pPr>
              <w:adjustRightInd w:val="0"/>
              <w:snapToGrid w:val="0"/>
              <w:spacing w:line="440" w:lineRule="exact"/>
              <w:rPr>
                <w:rFonts w:ascii="宋体" w:hAnsi="Times New Roman" w:eastAsia="宋体" w:cs="宋体"/>
                <w:szCs w:val="20"/>
              </w:rPr>
            </w:pPr>
            <w:r>
              <w:rPr>
                <w:rFonts w:hint="eastAsia" w:ascii="宋体" w:hAnsi="Times New Roman" w:eastAsia="宋体" w:cs="宋体"/>
                <w:szCs w:val="20"/>
              </w:rPr>
              <w:t>电子邮箱：</w:t>
            </w:r>
            <w:r>
              <w:fldChar w:fldCharType="begin"/>
            </w:r>
            <w:r>
              <w:instrText xml:space="preserve"> HYPERLINK "mailto:378994086@qq.com" </w:instrText>
            </w:r>
            <w:r>
              <w:fldChar w:fldCharType="separate"/>
            </w:r>
            <w:r>
              <w:rPr>
                <w:rFonts w:hint="eastAsia" w:ascii="宋体" w:hAnsi="Times New Roman" w:eastAsia="宋体" w:cs="宋体"/>
                <w:color w:val="000000"/>
                <w:szCs w:val="21"/>
                <w:lang w:bidi="ar"/>
              </w:rPr>
              <w:t>378994086@qq.com</w:t>
            </w:r>
            <w:r>
              <w:rPr>
                <w:rFonts w:hint="eastAsia" w:ascii="宋体" w:hAnsi="Times New Roman" w:eastAsia="宋体" w:cs="宋体"/>
                <w:color w:val="000000"/>
                <w:szCs w:val="21"/>
                <w:lang w:bidi="ar"/>
              </w:rPr>
              <w:fldChar w:fldCharType="end"/>
            </w:r>
          </w:p>
        </w:tc>
      </w:tr>
    </w:tbl>
    <w:p>
      <w:pPr>
        <w:adjustRightInd w:val="0"/>
        <w:snapToGrid w:val="0"/>
        <w:spacing w:line="440" w:lineRule="exact"/>
        <w:ind w:firstLine="420" w:firstLineChars="200"/>
        <w:rPr>
          <w:rFonts w:ascii="宋体" w:hAnsi="Times New Roman" w:eastAsia="宋体" w:cs="宋体"/>
          <w:szCs w:val="21"/>
        </w:rPr>
      </w:pPr>
    </w:p>
    <w:p>
      <w:pPr>
        <w:spacing w:before="100" w:beforeAutospacing="1" w:after="100" w:afterAutospacing="1" w:line="440" w:lineRule="exact"/>
        <w:jc w:val="right"/>
        <w:rPr>
          <w:rFonts w:ascii="Calibri" w:hAnsi="Calibri" w:eastAsia="宋体" w:cs="Calibri"/>
          <w:b/>
          <w:bCs/>
          <w:szCs w:val="21"/>
        </w:rPr>
      </w:pPr>
      <w:r>
        <w:rPr>
          <w:rFonts w:hint="eastAsia" w:ascii="Calibri" w:hAnsi="Calibri" w:eastAsia="宋体" w:cs="Calibri"/>
          <w:b/>
          <w:bCs/>
          <w:szCs w:val="21"/>
        </w:rPr>
        <w:t>2025年 6 月 10 日</w:t>
      </w:r>
      <w:bookmarkEnd w:id="3"/>
      <w:bookmarkEnd w:id="4"/>
      <w:bookmarkEnd w:id="5"/>
      <w:bookmarkEnd w:id="6"/>
      <w:bookmarkStart w:id="11" w:name="_Toc369077559"/>
      <w:bookmarkStart w:id="12" w:name="_Toc397975242"/>
    </w:p>
    <w:bookmarkEnd w:id="7"/>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r>
        <w:rPr>
          <w:rFonts w:hint="eastAsia" w:ascii="Times New Roman" w:hAnsi="Times New Roman" w:eastAsia="宋体" w:cs="Times New Roman"/>
          <w:szCs w:val="20"/>
        </w:rPr>
        <w:br w:type="page"/>
      </w:r>
    </w:p>
    <w:p>
      <w:pPr>
        <w:tabs>
          <w:tab w:val="left" w:pos="0"/>
        </w:tabs>
        <w:adjustRightInd w:val="0"/>
        <w:spacing w:line="500" w:lineRule="exact"/>
        <w:jc w:val="center"/>
        <w:outlineLvl w:val="0"/>
        <w:rPr>
          <w:rFonts w:ascii="Times New Roman" w:hAnsi="Times New Roman" w:eastAsia="宋体" w:cs="Times New Roman"/>
          <w:b/>
          <w:kern w:val="44"/>
          <w:sz w:val="32"/>
          <w:szCs w:val="32"/>
        </w:rPr>
      </w:pPr>
      <w:r>
        <w:rPr>
          <w:rFonts w:ascii="Times New Roman" w:hAnsi="Times New Roman" w:eastAsia="宋体" w:cs="Times New Roman"/>
          <w:b/>
          <w:kern w:val="44"/>
          <w:sz w:val="32"/>
          <w:szCs w:val="32"/>
        </w:rPr>
        <w:t>第二章投标人须知</w:t>
      </w:r>
    </w:p>
    <w:p>
      <w:pPr>
        <w:spacing w:line="480" w:lineRule="auto"/>
        <w:ind w:firstLine="3463" w:firstLineChars="1150"/>
        <w:rPr>
          <w:rFonts w:ascii="Calibri" w:hAnsi="Calibri" w:eastAsia="宋体" w:cs="Times New Roman"/>
          <w:b/>
          <w:sz w:val="30"/>
          <w:szCs w:val="30"/>
        </w:rPr>
      </w:pPr>
      <w:r>
        <w:rPr>
          <w:rFonts w:ascii="Calibri" w:hAnsi="Calibri" w:eastAsia="宋体" w:cs="Times New Roman"/>
          <w:b/>
          <w:sz w:val="30"/>
          <w:szCs w:val="30"/>
        </w:rPr>
        <w:t>投标人须知前附表</w:t>
      </w:r>
      <w:bookmarkEnd w:id="11"/>
      <w:bookmarkEnd w:id="12"/>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7"/>
        <w:gridCol w:w="2181"/>
        <w:gridCol w:w="597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tblHeader/>
          <w:jc w:val="center"/>
        </w:trPr>
        <w:tc>
          <w:tcPr>
            <w:tcW w:w="917" w:type="dxa"/>
            <w:vAlign w:val="center"/>
          </w:tcPr>
          <w:p>
            <w:pPr>
              <w:spacing w:line="312" w:lineRule="auto"/>
              <w:jc w:val="center"/>
              <w:rPr>
                <w:rFonts w:ascii="宋体" w:hAnsi="宋体" w:eastAsia="宋体" w:cs="宋体"/>
                <w:b/>
                <w:color w:val="000000"/>
                <w:szCs w:val="20"/>
              </w:rPr>
            </w:pPr>
            <w:r>
              <w:rPr>
                <w:rFonts w:hint="eastAsia" w:ascii="宋体" w:hAnsi="宋体" w:eastAsia="宋体" w:cs="宋体"/>
                <w:b/>
                <w:color w:val="000000"/>
                <w:szCs w:val="20"/>
              </w:rPr>
              <w:t>条款号</w:t>
            </w:r>
          </w:p>
        </w:tc>
        <w:tc>
          <w:tcPr>
            <w:tcW w:w="2181" w:type="dxa"/>
            <w:vAlign w:val="center"/>
          </w:tcPr>
          <w:p>
            <w:pPr>
              <w:spacing w:line="312" w:lineRule="auto"/>
              <w:jc w:val="center"/>
              <w:rPr>
                <w:rFonts w:ascii="宋体" w:hAnsi="宋体" w:eastAsia="宋体" w:cs="宋体"/>
                <w:b/>
                <w:color w:val="000000"/>
                <w:szCs w:val="20"/>
              </w:rPr>
            </w:pPr>
            <w:r>
              <w:rPr>
                <w:rFonts w:hint="eastAsia" w:ascii="宋体" w:hAnsi="宋体" w:eastAsia="宋体" w:cs="宋体"/>
                <w:b/>
                <w:color w:val="000000"/>
                <w:szCs w:val="20"/>
              </w:rPr>
              <w:t>条 款 名 称</w:t>
            </w:r>
          </w:p>
        </w:tc>
        <w:tc>
          <w:tcPr>
            <w:tcW w:w="5974" w:type="dxa"/>
            <w:vAlign w:val="center"/>
          </w:tcPr>
          <w:p>
            <w:pPr>
              <w:spacing w:line="312" w:lineRule="auto"/>
              <w:jc w:val="center"/>
              <w:rPr>
                <w:rFonts w:ascii="宋体" w:hAnsi="宋体" w:eastAsia="宋体" w:cs="宋体"/>
                <w:b/>
                <w:color w:val="000000"/>
                <w:szCs w:val="20"/>
              </w:rPr>
            </w:pPr>
            <w:r>
              <w:rPr>
                <w:rFonts w:hint="eastAsia" w:ascii="宋体" w:hAnsi="宋体" w:eastAsia="宋体" w:cs="宋体"/>
                <w:b/>
                <w:color w:val="000000"/>
                <w:szCs w:val="20"/>
              </w:rPr>
              <w:t>编 列 内 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1.1.2</w:t>
            </w:r>
          </w:p>
        </w:tc>
        <w:tc>
          <w:tcPr>
            <w:tcW w:w="2181" w:type="dxa"/>
            <w:vAlign w:val="center"/>
          </w:tcPr>
          <w:p>
            <w:pPr>
              <w:spacing w:line="312" w:lineRule="auto"/>
              <w:rPr>
                <w:rFonts w:ascii="宋体" w:hAnsi="宋体" w:eastAsia="宋体" w:cs="宋体"/>
                <w:color w:val="000000"/>
                <w:szCs w:val="20"/>
              </w:rPr>
            </w:pPr>
            <w:r>
              <w:rPr>
                <w:rFonts w:hint="eastAsia" w:ascii="宋体" w:hAnsi="宋体" w:eastAsia="宋体" w:cs="宋体"/>
                <w:color w:val="000000"/>
                <w:szCs w:val="20"/>
              </w:rPr>
              <w:t>招标人</w:t>
            </w:r>
          </w:p>
        </w:tc>
        <w:tc>
          <w:tcPr>
            <w:tcW w:w="5974" w:type="dxa"/>
            <w:vAlign w:val="center"/>
          </w:tcPr>
          <w:p>
            <w:pPr>
              <w:adjustRightInd w:val="0"/>
              <w:snapToGrid w:val="0"/>
              <w:spacing w:line="312" w:lineRule="auto"/>
              <w:rPr>
                <w:rFonts w:ascii="宋体" w:hAnsi="宋体" w:eastAsia="宋体" w:cs="宋体"/>
                <w:color w:val="0000FF"/>
                <w:szCs w:val="21"/>
              </w:rPr>
            </w:pPr>
            <w:r>
              <w:rPr>
                <w:rFonts w:hint="eastAsia" w:ascii="宋体" w:hAnsi="宋体" w:eastAsia="宋体" w:cs="宋体"/>
                <w:szCs w:val="21"/>
              </w:rPr>
              <w:t>名称：</w:t>
            </w:r>
            <w:r>
              <w:rPr>
                <w:rFonts w:hint="eastAsia" w:ascii="宋体" w:hAnsi="宋体" w:eastAsia="宋体" w:cs="宋体"/>
                <w:color w:val="0000FF"/>
                <w:szCs w:val="21"/>
              </w:rPr>
              <w:t>仪征市博润建材商贸有限公司</w:t>
            </w:r>
          </w:p>
          <w:p>
            <w:pPr>
              <w:adjustRightInd w:val="0"/>
              <w:snapToGrid w:val="0"/>
              <w:spacing w:line="312" w:lineRule="auto"/>
              <w:rPr>
                <w:rFonts w:ascii="宋体" w:hAnsi="宋体" w:eastAsia="宋体" w:cs="宋体"/>
                <w:szCs w:val="21"/>
              </w:rPr>
            </w:pPr>
            <w:r>
              <w:rPr>
                <w:rFonts w:hint="eastAsia" w:ascii="宋体" w:hAnsi="宋体" w:eastAsia="宋体" w:cs="宋体"/>
                <w:szCs w:val="21"/>
              </w:rPr>
              <w:t>地址：</w:t>
            </w:r>
            <w:r>
              <w:rPr>
                <w:rFonts w:hint="eastAsia" w:ascii="宋体" w:hAnsi="宋体" w:eastAsia="宋体" w:cs="宋体"/>
                <w:color w:val="0000FF"/>
                <w:szCs w:val="21"/>
              </w:rPr>
              <w:t>仪征市解放东路818号</w:t>
            </w:r>
          </w:p>
          <w:p>
            <w:pPr>
              <w:adjustRightInd w:val="0"/>
              <w:snapToGrid w:val="0"/>
              <w:spacing w:line="312" w:lineRule="auto"/>
              <w:rPr>
                <w:rFonts w:ascii="宋体" w:hAnsi="宋体" w:eastAsia="宋体" w:cs="宋体"/>
                <w:color w:val="0000FF"/>
                <w:szCs w:val="21"/>
              </w:rPr>
            </w:pPr>
            <w:r>
              <w:rPr>
                <w:rFonts w:hint="eastAsia" w:ascii="宋体" w:hAnsi="宋体" w:eastAsia="宋体" w:cs="宋体"/>
                <w:szCs w:val="21"/>
              </w:rPr>
              <w:t>联系人：</w:t>
            </w:r>
            <w:r>
              <w:rPr>
                <w:rFonts w:hint="eastAsia" w:ascii="宋体" w:hAnsi="宋体" w:eastAsia="宋体" w:cs="宋体"/>
                <w:color w:val="0000FF"/>
                <w:szCs w:val="21"/>
              </w:rPr>
              <w:t>凌广志</w:t>
            </w:r>
          </w:p>
          <w:p>
            <w:pPr>
              <w:adjustRightInd w:val="0"/>
              <w:snapToGrid w:val="0"/>
              <w:spacing w:line="312" w:lineRule="auto"/>
              <w:rPr>
                <w:rFonts w:ascii="宋体" w:hAnsi="宋体" w:eastAsia="宋体" w:cs="宋体"/>
                <w:szCs w:val="21"/>
              </w:rPr>
            </w:pPr>
            <w:r>
              <w:rPr>
                <w:rFonts w:hint="eastAsia" w:ascii="宋体" w:hAnsi="宋体" w:eastAsia="宋体" w:cs="宋体"/>
                <w:szCs w:val="21"/>
              </w:rPr>
              <w:t>电话：</w:t>
            </w:r>
            <w:r>
              <w:rPr>
                <w:rFonts w:ascii="宋体" w:hAnsi="宋体" w:eastAsia="宋体" w:cs="宋体"/>
                <w:color w:val="0000FF"/>
                <w:szCs w:val="21"/>
              </w:rPr>
              <w:t>0514-83585696</w:t>
            </w:r>
            <w:r>
              <w:rPr>
                <w:rFonts w:hint="eastAsia" w:ascii="宋体" w:hAnsi="宋体" w:eastAsia="宋体" w:cs="宋体"/>
                <w:color w:val="0000FF"/>
                <w:szCs w:val="21"/>
              </w:rPr>
              <w:t xml:space="preserve"> </w:t>
            </w:r>
          </w:p>
          <w:p>
            <w:pPr>
              <w:adjustRightInd w:val="0"/>
              <w:snapToGrid w:val="0"/>
              <w:spacing w:line="312" w:lineRule="auto"/>
              <w:rPr>
                <w:rFonts w:ascii="宋体" w:hAnsi="宋体" w:eastAsia="宋体" w:cs="宋体"/>
                <w:color w:val="000000"/>
                <w:szCs w:val="20"/>
              </w:rPr>
            </w:pPr>
            <w:r>
              <w:rPr>
                <w:rFonts w:hint="eastAsia" w:ascii="宋体" w:hAnsi="宋体" w:eastAsia="宋体" w:cs="宋体"/>
                <w:szCs w:val="21"/>
              </w:rPr>
              <w:t>电子邮箱：</w:t>
            </w:r>
            <w:r>
              <w:rPr>
                <w:rFonts w:hint="eastAsia" w:ascii="宋体" w:hAnsi="宋体" w:eastAsia="宋体" w:cs="宋体"/>
                <w:color w:val="0000FF"/>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1.1.3</w:t>
            </w:r>
          </w:p>
        </w:tc>
        <w:tc>
          <w:tcPr>
            <w:tcW w:w="2181" w:type="dxa"/>
            <w:vAlign w:val="center"/>
          </w:tcPr>
          <w:p>
            <w:pPr>
              <w:spacing w:line="312" w:lineRule="auto"/>
              <w:rPr>
                <w:rFonts w:ascii="宋体" w:hAnsi="宋体" w:eastAsia="宋体" w:cs="宋体"/>
                <w:color w:val="000000"/>
                <w:szCs w:val="20"/>
              </w:rPr>
            </w:pPr>
            <w:r>
              <w:rPr>
                <w:rFonts w:hint="eastAsia" w:ascii="宋体" w:hAnsi="宋体" w:eastAsia="宋体" w:cs="宋体"/>
                <w:color w:val="000000"/>
                <w:szCs w:val="20"/>
              </w:rPr>
              <w:t>招标代理机构</w:t>
            </w:r>
          </w:p>
        </w:tc>
        <w:tc>
          <w:tcPr>
            <w:tcW w:w="5974" w:type="dxa"/>
            <w:vAlign w:val="center"/>
          </w:tcPr>
          <w:p>
            <w:pPr>
              <w:adjustRightInd w:val="0"/>
              <w:snapToGrid w:val="0"/>
              <w:spacing w:line="312" w:lineRule="auto"/>
              <w:rPr>
                <w:rFonts w:ascii="宋体" w:hAnsi="宋体" w:eastAsia="宋体" w:cs="宋体"/>
                <w:szCs w:val="21"/>
              </w:rPr>
            </w:pPr>
            <w:r>
              <w:rPr>
                <w:rFonts w:hint="eastAsia" w:ascii="宋体" w:hAnsi="宋体" w:eastAsia="宋体" w:cs="宋体"/>
                <w:szCs w:val="21"/>
              </w:rPr>
              <w:t>名称：</w:t>
            </w:r>
            <w:r>
              <w:rPr>
                <w:rFonts w:hint="eastAsia" w:ascii="宋体" w:hAnsi="宋体" w:eastAsia="宋体" w:cs="宋体"/>
                <w:color w:val="0000FF"/>
                <w:szCs w:val="21"/>
              </w:rPr>
              <w:t>扬州市聚力项目管理有限公司</w:t>
            </w:r>
          </w:p>
          <w:p>
            <w:pPr>
              <w:adjustRightInd w:val="0"/>
              <w:snapToGrid w:val="0"/>
              <w:spacing w:line="312" w:lineRule="auto"/>
              <w:rPr>
                <w:rFonts w:ascii="宋体" w:hAnsi="宋体" w:eastAsia="宋体" w:cs="宋体"/>
                <w:szCs w:val="21"/>
              </w:rPr>
            </w:pPr>
            <w:r>
              <w:rPr>
                <w:rFonts w:hint="eastAsia" w:ascii="宋体" w:hAnsi="宋体" w:eastAsia="宋体" w:cs="宋体"/>
                <w:szCs w:val="21"/>
              </w:rPr>
              <w:t>地址：</w:t>
            </w:r>
            <w:r>
              <w:rPr>
                <w:rFonts w:hint="eastAsia" w:ascii="宋体" w:hAnsi="宋体" w:eastAsia="宋体" w:cs="宋体"/>
                <w:color w:val="0000FF"/>
                <w:szCs w:val="21"/>
              </w:rPr>
              <w:t>仪征市闽泰大道9号</w:t>
            </w:r>
          </w:p>
          <w:p>
            <w:pPr>
              <w:adjustRightInd w:val="0"/>
              <w:snapToGrid w:val="0"/>
              <w:spacing w:line="312" w:lineRule="auto"/>
              <w:rPr>
                <w:rFonts w:ascii="宋体" w:hAnsi="宋体" w:eastAsia="宋体" w:cs="宋体"/>
                <w:szCs w:val="21"/>
              </w:rPr>
            </w:pPr>
            <w:r>
              <w:rPr>
                <w:rFonts w:hint="eastAsia" w:ascii="宋体" w:hAnsi="宋体" w:eastAsia="宋体" w:cs="宋体"/>
                <w:szCs w:val="21"/>
              </w:rPr>
              <w:t>联系人：</w:t>
            </w:r>
            <w:r>
              <w:rPr>
                <w:rFonts w:hint="eastAsia" w:ascii="宋体" w:hAnsi="宋体" w:eastAsia="宋体" w:cs="宋体"/>
                <w:color w:val="0000FF"/>
                <w:szCs w:val="21"/>
              </w:rPr>
              <w:t>王璐</w:t>
            </w:r>
          </w:p>
          <w:p>
            <w:pPr>
              <w:adjustRightInd w:val="0"/>
              <w:snapToGrid w:val="0"/>
              <w:spacing w:line="312" w:lineRule="auto"/>
              <w:rPr>
                <w:rFonts w:ascii="宋体" w:hAnsi="宋体" w:eastAsia="宋体" w:cs="宋体"/>
                <w:szCs w:val="21"/>
              </w:rPr>
            </w:pPr>
            <w:r>
              <w:rPr>
                <w:rFonts w:hint="eastAsia" w:ascii="宋体" w:hAnsi="宋体" w:eastAsia="宋体" w:cs="宋体"/>
                <w:szCs w:val="21"/>
              </w:rPr>
              <w:t>电话：</w:t>
            </w:r>
            <w:r>
              <w:rPr>
                <w:rFonts w:hint="eastAsia" w:ascii="宋体" w:hAnsi="宋体" w:eastAsia="宋体" w:cs="宋体"/>
                <w:color w:val="0000FF"/>
                <w:szCs w:val="21"/>
              </w:rPr>
              <w:t>18762779706</w:t>
            </w:r>
          </w:p>
          <w:p>
            <w:pPr>
              <w:adjustRightInd w:val="0"/>
              <w:snapToGrid w:val="0"/>
              <w:spacing w:line="312" w:lineRule="auto"/>
              <w:rPr>
                <w:rFonts w:ascii="宋体" w:hAnsi="宋体" w:eastAsia="宋体" w:cs="宋体"/>
                <w:szCs w:val="21"/>
              </w:rPr>
            </w:pPr>
            <w:r>
              <w:rPr>
                <w:rFonts w:hint="eastAsia" w:ascii="宋体" w:hAnsi="宋体" w:eastAsia="宋体" w:cs="宋体"/>
                <w:szCs w:val="21"/>
              </w:rPr>
              <w:t>电子邮箱：</w:t>
            </w:r>
            <w:bookmarkStart w:id="13" w:name="EB3b532f3793ae49169b4a737311cd04ba"/>
            <w:r>
              <w:rPr>
                <w:rFonts w:hint="eastAsia" w:ascii="宋体" w:hAnsi="宋体" w:eastAsia="宋体" w:cs="宋体"/>
                <w:color w:val="0000FF"/>
                <w:szCs w:val="21"/>
              </w:rPr>
              <w:t>378994086@qq.com</w:t>
            </w:r>
            <w:bookmarkEnd w:id="13"/>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1.1.4</w:t>
            </w:r>
          </w:p>
        </w:tc>
        <w:tc>
          <w:tcPr>
            <w:tcW w:w="2181" w:type="dxa"/>
            <w:vAlign w:val="center"/>
          </w:tcPr>
          <w:p>
            <w:pPr>
              <w:spacing w:line="312" w:lineRule="auto"/>
              <w:rPr>
                <w:rFonts w:ascii="宋体" w:hAnsi="宋体" w:eastAsia="宋体" w:cs="宋体"/>
                <w:color w:val="000000"/>
                <w:szCs w:val="20"/>
              </w:rPr>
            </w:pPr>
            <w:r>
              <w:rPr>
                <w:rFonts w:hint="eastAsia" w:ascii="宋体" w:hAnsi="宋体" w:eastAsia="宋体" w:cs="宋体"/>
                <w:color w:val="000000"/>
                <w:szCs w:val="20"/>
              </w:rPr>
              <w:t>项目名称</w:t>
            </w:r>
          </w:p>
        </w:tc>
        <w:tc>
          <w:tcPr>
            <w:tcW w:w="5974" w:type="dxa"/>
            <w:vAlign w:val="center"/>
          </w:tcPr>
          <w:p>
            <w:pPr>
              <w:adjustRightInd w:val="0"/>
              <w:snapToGrid w:val="0"/>
              <w:spacing w:line="312" w:lineRule="auto"/>
              <w:rPr>
                <w:rFonts w:ascii="宋体" w:hAnsi="宋体" w:eastAsia="宋体" w:cs="宋体"/>
                <w:szCs w:val="21"/>
              </w:rPr>
            </w:pPr>
            <w:r>
              <w:rPr>
                <w:rFonts w:hint="eastAsia" w:ascii="宋体" w:hAnsi="宋体" w:eastAsia="宋体" w:cs="宋体"/>
                <w:szCs w:val="21"/>
              </w:rPr>
              <w:t>防火门、防火窗采购及安装项目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1.2.1</w:t>
            </w:r>
          </w:p>
        </w:tc>
        <w:tc>
          <w:tcPr>
            <w:tcW w:w="2181" w:type="dxa"/>
            <w:vAlign w:val="center"/>
          </w:tcPr>
          <w:p>
            <w:pPr>
              <w:spacing w:line="312" w:lineRule="auto"/>
              <w:rPr>
                <w:rFonts w:ascii="宋体" w:hAnsi="宋体" w:eastAsia="宋体" w:cs="宋体"/>
                <w:color w:val="000000"/>
                <w:szCs w:val="20"/>
              </w:rPr>
            </w:pPr>
            <w:r>
              <w:rPr>
                <w:rFonts w:hint="eastAsia" w:ascii="宋体" w:hAnsi="宋体" w:eastAsia="宋体" w:cs="宋体"/>
                <w:color w:val="000000"/>
                <w:szCs w:val="20"/>
              </w:rPr>
              <w:t>资金来源</w:t>
            </w:r>
          </w:p>
        </w:tc>
        <w:tc>
          <w:tcPr>
            <w:tcW w:w="5974" w:type="dxa"/>
            <w:vAlign w:val="center"/>
          </w:tcPr>
          <w:p>
            <w:pPr>
              <w:spacing w:line="312" w:lineRule="auto"/>
              <w:rPr>
                <w:rFonts w:ascii="宋体" w:hAnsi="宋体" w:eastAsia="宋体" w:cs="宋体"/>
                <w:color w:val="000000"/>
                <w:szCs w:val="20"/>
              </w:rPr>
            </w:pPr>
            <w:r>
              <w:rPr>
                <w:rFonts w:hint="eastAsia" w:ascii="宋体" w:hAnsi="宋体" w:eastAsia="宋体" w:cs="宋体"/>
                <w:color w:val="000000"/>
                <w:szCs w:val="20"/>
              </w:rPr>
              <w:t>自筹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1.2.2</w:t>
            </w:r>
          </w:p>
        </w:tc>
        <w:tc>
          <w:tcPr>
            <w:tcW w:w="2181" w:type="dxa"/>
            <w:vAlign w:val="center"/>
          </w:tcPr>
          <w:p>
            <w:pPr>
              <w:spacing w:line="312" w:lineRule="auto"/>
              <w:rPr>
                <w:rFonts w:ascii="宋体" w:hAnsi="宋体" w:eastAsia="宋体" w:cs="宋体"/>
                <w:color w:val="000000"/>
                <w:szCs w:val="20"/>
              </w:rPr>
            </w:pPr>
            <w:r>
              <w:rPr>
                <w:rFonts w:hint="eastAsia" w:ascii="宋体" w:hAnsi="宋体" w:eastAsia="宋体" w:cs="宋体"/>
                <w:color w:val="000000"/>
                <w:szCs w:val="20"/>
              </w:rPr>
              <w:t>出资比例</w:t>
            </w:r>
          </w:p>
        </w:tc>
        <w:tc>
          <w:tcPr>
            <w:tcW w:w="5974" w:type="dxa"/>
            <w:vAlign w:val="center"/>
          </w:tcPr>
          <w:p>
            <w:pPr>
              <w:spacing w:line="312" w:lineRule="auto"/>
              <w:rPr>
                <w:rFonts w:ascii="宋体" w:hAnsi="宋体" w:eastAsia="宋体" w:cs="宋体"/>
                <w:color w:val="000000"/>
                <w:szCs w:val="20"/>
              </w:rPr>
            </w:pPr>
            <w:r>
              <w:rPr>
                <w:rFonts w:hint="eastAsia" w:ascii="宋体" w:hAnsi="宋体" w:eastAsia="宋体" w:cs="宋体"/>
                <w:color w:val="000000"/>
                <w:szCs w:val="20"/>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1.2.3</w:t>
            </w:r>
          </w:p>
        </w:tc>
        <w:tc>
          <w:tcPr>
            <w:tcW w:w="2181" w:type="dxa"/>
            <w:vAlign w:val="center"/>
          </w:tcPr>
          <w:p>
            <w:pPr>
              <w:spacing w:line="312" w:lineRule="auto"/>
              <w:rPr>
                <w:rFonts w:ascii="宋体" w:hAnsi="宋体" w:eastAsia="宋体" w:cs="宋体"/>
                <w:color w:val="000000"/>
                <w:szCs w:val="20"/>
              </w:rPr>
            </w:pPr>
            <w:r>
              <w:rPr>
                <w:rFonts w:hint="eastAsia" w:ascii="宋体" w:hAnsi="宋体" w:eastAsia="宋体" w:cs="宋体"/>
                <w:color w:val="000000"/>
                <w:szCs w:val="20"/>
              </w:rPr>
              <w:t>资金落实情况</w:t>
            </w:r>
          </w:p>
        </w:tc>
        <w:tc>
          <w:tcPr>
            <w:tcW w:w="5974" w:type="dxa"/>
            <w:vAlign w:val="center"/>
          </w:tcPr>
          <w:p>
            <w:pPr>
              <w:spacing w:line="312" w:lineRule="auto"/>
              <w:rPr>
                <w:rFonts w:ascii="宋体" w:hAnsi="宋体" w:eastAsia="宋体" w:cs="宋体"/>
                <w:color w:val="000000"/>
                <w:szCs w:val="20"/>
              </w:rPr>
            </w:pPr>
            <w:r>
              <w:rPr>
                <w:rFonts w:hint="eastAsia" w:ascii="宋体" w:hAnsi="宋体" w:eastAsia="宋体" w:cs="宋体"/>
                <w:color w:val="000000"/>
                <w:szCs w:val="20"/>
              </w:rPr>
              <w:t>已落实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1.3.1</w:t>
            </w:r>
          </w:p>
        </w:tc>
        <w:tc>
          <w:tcPr>
            <w:tcW w:w="2181" w:type="dxa"/>
            <w:vAlign w:val="center"/>
          </w:tcPr>
          <w:p>
            <w:pPr>
              <w:spacing w:line="312" w:lineRule="auto"/>
              <w:rPr>
                <w:rFonts w:ascii="宋体" w:hAnsi="宋体" w:eastAsia="宋体" w:cs="宋体"/>
                <w:color w:val="000000"/>
                <w:szCs w:val="20"/>
              </w:rPr>
            </w:pPr>
            <w:r>
              <w:rPr>
                <w:rFonts w:hint="eastAsia" w:ascii="宋体" w:hAnsi="宋体" w:eastAsia="宋体" w:cs="宋体"/>
                <w:color w:val="000000"/>
                <w:szCs w:val="20"/>
              </w:rPr>
              <w:t>招标范围</w:t>
            </w:r>
          </w:p>
        </w:tc>
        <w:tc>
          <w:tcPr>
            <w:tcW w:w="5974" w:type="dxa"/>
            <w:vAlign w:val="center"/>
          </w:tcPr>
          <w:p>
            <w:pPr>
              <w:spacing w:line="312" w:lineRule="auto"/>
              <w:rPr>
                <w:rFonts w:ascii="宋体" w:hAnsi="宋体" w:eastAsia="宋体" w:cs="宋体"/>
                <w:color w:val="000000"/>
                <w:szCs w:val="20"/>
                <w:u w:val="single"/>
              </w:rPr>
            </w:pPr>
            <w:r>
              <w:rPr>
                <w:rFonts w:hint="eastAsia" w:ascii="宋体" w:hAnsi="宋体" w:eastAsia="宋体" w:cs="宋体"/>
                <w:color w:val="000000"/>
                <w:szCs w:val="20"/>
              </w:rPr>
              <w:t>详见招标公告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1.3.2</w:t>
            </w:r>
          </w:p>
        </w:tc>
        <w:tc>
          <w:tcPr>
            <w:tcW w:w="2181" w:type="dxa"/>
            <w:vAlign w:val="center"/>
          </w:tcPr>
          <w:p>
            <w:pPr>
              <w:spacing w:line="312" w:lineRule="auto"/>
              <w:rPr>
                <w:rFonts w:ascii="宋体" w:hAnsi="宋体" w:eastAsia="宋体" w:cs="宋体"/>
                <w:color w:val="000000"/>
                <w:szCs w:val="20"/>
              </w:rPr>
            </w:pPr>
            <w:r>
              <w:rPr>
                <w:rFonts w:hint="eastAsia" w:ascii="宋体" w:hAnsi="Times New Roman" w:eastAsia="宋体" w:cs="宋体"/>
                <w:szCs w:val="21"/>
              </w:rPr>
              <w:t>供货</w:t>
            </w:r>
            <w:r>
              <w:rPr>
                <w:rFonts w:hint="eastAsia" w:ascii="宋体" w:hAnsi="Times New Roman" w:eastAsia="宋体" w:cs="宋体"/>
                <w:color w:val="000000"/>
                <w:szCs w:val="21"/>
              </w:rPr>
              <w:t>期</w:t>
            </w:r>
          </w:p>
        </w:tc>
        <w:tc>
          <w:tcPr>
            <w:tcW w:w="5974" w:type="dxa"/>
            <w:vAlign w:val="center"/>
          </w:tcPr>
          <w:p>
            <w:pPr>
              <w:spacing w:line="312" w:lineRule="auto"/>
              <w:rPr>
                <w:rFonts w:ascii="Times New Roman" w:hAnsi="Times New Roman" w:eastAsia="宋体" w:cs="Times New Roman"/>
                <w:szCs w:val="20"/>
              </w:rPr>
            </w:pPr>
            <w:r>
              <w:rPr>
                <w:rFonts w:hint="eastAsia" w:ascii="宋体" w:hAnsi="宋体" w:eastAsia="宋体" w:cs="宋体"/>
                <w:color w:val="000000"/>
                <w:szCs w:val="20"/>
              </w:rPr>
              <w:t>30日历天。（分批次供货，具体供货时间根据项目施工进度来调整，收到甲方计划单按要求将货送至指定地点）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1.3.3</w:t>
            </w:r>
          </w:p>
        </w:tc>
        <w:tc>
          <w:tcPr>
            <w:tcW w:w="2181" w:type="dxa"/>
            <w:vAlign w:val="center"/>
          </w:tcPr>
          <w:p>
            <w:pPr>
              <w:spacing w:line="312" w:lineRule="auto"/>
              <w:rPr>
                <w:rFonts w:ascii="宋体" w:hAnsi="宋体" w:eastAsia="宋体" w:cs="宋体"/>
                <w:color w:val="000000"/>
                <w:szCs w:val="20"/>
              </w:rPr>
            </w:pPr>
            <w:r>
              <w:rPr>
                <w:rFonts w:hint="eastAsia" w:ascii="宋体" w:hAnsi="Times New Roman" w:eastAsia="宋体" w:cs="宋体"/>
                <w:szCs w:val="21"/>
              </w:rPr>
              <w:t>供货</w:t>
            </w:r>
            <w:r>
              <w:rPr>
                <w:rFonts w:hint="eastAsia" w:ascii="宋体" w:hAnsi="宋体" w:eastAsia="宋体" w:cs="宋体"/>
                <w:color w:val="000000"/>
                <w:szCs w:val="20"/>
              </w:rPr>
              <w:t>地点</w:t>
            </w:r>
          </w:p>
        </w:tc>
        <w:tc>
          <w:tcPr>
            <w:tcW w:w="5974" w:type="dxa"/>
            <w:vAlign w:val="center"/>
          </w:tcPr>
          <w:p>
            <w:pPr>
              <w:spacing w:line="312" w:lineRule="auto"/>
              <w:rPr>
                <w:rFonts w:ascii="宋体" w:hAnsi="宋体" w:eastAsia="宋体" w:cs="宋体"/>
                <w:color w:val="000000"/>
                <w:szCs w:val="20"/>
              </w:rPr>
            </w:pPr>
            <w:r>
              <w:rPr>
                <w:rFonts w:hint="eastAsia" w:ascii="宋体" w:hAnsi="宋体" w:eastAsia="宋体" w:cs="宋体"/>
                <w:color w:val="000000"/>
                <w:szCs w:val="20"/>
              </w:rPr>
              <w:t>仪征市区域内，具体位置按招标人要求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1.3.4</w:t>
            </w:r>
          </w:p>
        </w:tc>
        <w:tc>
          <w:tcPr>
            <w:tcW w:w="2181" w:type="dxa"/>
            <w:vAlign w:val="center"/>
          </w:tcPr>
          <w:p>
            <w:pPr>
              <w:spacing w:line="312" w:lineRule="auto"/>
              <w:rPr>
                <w:rFonts w:ascii="宋体" w:hAnsi="宋体" w:eastAsia="宋体" w:cs="宋体"/>
                <w:color w:val="000000"/>
                <w:szCs w:val="20"/>
              </w:rPr>
            </w:pPr>
            <w:r>
              <w:rPr>
                <w:rFonts w:hint="eastAsia" w:ascii="宋体" w:hAnsi="宋体" w:eastAsia="宋体" w:cs="宋体"/>
                <w:color w:val="000000"/>
                <w:szCs w:val="20"/>
              </w:rPr>
              <w:t>质量要求及验收标准</w:t>
            </w:r>
          </w:p>
        </w:tc>
        <w:tc>
          <w:tcPr>
            <w:tcW w:w="5974" w:type="dxa"/>
            <w:vAlign w:val="center"/>
          </w:tcPr>
          <w:p>
            <w:pPr>
              <w:spacing w:line="312" w:lineRule="auto"/>
              <w:rPr>
                <w:rFonts w:ascii="宋体" w:hAnsi="宋体" w:eastAsia="宋体" w:cs="宋体"/>
                <w:color w:val="000000"/>
                <w:szCs w:val="20"/>
              </w:rPr>
            </w:pPr>
            <w:r>
              <w:rPr>
                <w:rFonts w:hint="eastAsia" w:ascii="宋体" w:hAnsi="宋体" w:eastAsia="宋体" w:cs="宋体"/>
                <w:color w:val="000000"/>
                <w:szCs w:val="20"/>
              </w:rPr>
              <w:t>符合国家验收标准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1.4.1</w:t>
            </w:r>
          </w:p>
        </w:tc>
        <w:tc>
          <w:tcPr>
            <w:tcW w:w="2181" w:type="dxa"/>
            <w:vAlign w:val="center"/>
          </w:tcPr>
          <w:p>
            <w:pPr>
              <w:spacing w:line="312" w:lineRule="auto"/>
              <w:rPr>
                <w:rFonts w:ascii="宋体" w:hAnsi="宋体" w:eastAsia="宋体" w:cs="宋体"/>
                <w:color w:val="000000"/>
                <w:szCs w:val="20"/>
              </w:rPr>
            </w:pPr>
            <w:r>
              <w:rPr>
                <w:rFonts w:hint="eastAsia" w:ascii="宋体" w:hAnsi="宋体" w:eastAsia="宋体" w:cs="宋体"/>
                <w:color w:val="000000"/>
                <w:szCs w:val="20"/>
              </w:rPr>
              <w:t>投标人资格要求</w:t>
            </w:r>
          </w:p>
        </w:tc>
        <w:tc>
          <w:tcPr>
            <w:tcW w:w="5974" w:type="dxa"/>
            <w:vAlign w:val="center"/>
          </w:tcPr>
          <w:p>
            <w:pPr>
              <w:spacing w:line="312" w:lineRule="auto"/>
              <w:rPr>
                <w:rFonts w:ascii="宋体" w:hAnsi="宋体" w:eastAsia="宋体" w:cs="宋体"/>
                <w:color w:val="000000"/>
                <w:szCs w:val="20"/>
              </w:rPr>
            </w:pPr>
            <w:r>
              <w:rPr>
                <w:rFonts w:hint="eastAsia" w:ascii="宋体" w:hAnsi="宋体" w:eastAsia="宋体" w:cs="宋体"/>
                <w:color w:val="000000"/>
                <w:szCs w:val="20"/>
              </w:rPr>
              <w:t>详见招标公告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1.4.2</w:t>
            </w:r>
          </w:p>
        </w:tc>
        <w:tc>
          <w:tcPr>
            <w:tcW w:w="2181" w:type="dxa"/>
            <w:vAlign w:val="center"/>
          </w:tcPr>
          <w:p>
            <w:pPr>
              <w:spacing w:line="312" w:lineRule="auto"/>
              <w:rPr>
                <w:rFonts w:ascii="宋体" w:hAnsi="宋体" w:eastAsia="宋体" w:cs="宋体"/>
                <w:color w:val="000000"/>
                <w:szCs w:val="20"/>
              </w:rPr>
            </w:pPr>
            <w:r>
              <w:rPr>
                <w:rFonts w:hint="eastAsia" w:ascii="宋体" w:hAnsi="宋体" w:eastAsia="宋体" w:cs="宋体"/>
                <w:color w:val="000000"/>
                <w:szCs w:val="20"/>
              </w:rPr>
              <w:t>是否接受联合体投标</w:t>
            </w:r>
          </w:p>
        </w:tc>
        <w:tc>
          <w:tcPr>
            <w:tcW w:w="5974" w:type="dxa"/>
            <w:vAlign w:val="center"/>
          </w:tcPr>
          <w:p>
            <w:pPr>
              <w:spacing w:line="312" w:lineRule="auto"/>
              <w:rPr>
                <w:rFonts w:ascii="宋体" w:hAnsi="宋体" w:eastAsia="宋体" w:cs="宋体"/>
                <w:color w:val="000000"/>
                <w:kern w:val="0"/>
                <w:szCs w:val="20"/>
              </w:rPr>
            </w:pPr>
            <w:r>
              <w:rPr>
                <w:rFonts w:hint="eastAsia" w:ascii="宋体" w:hAnsi="宋体" w:eastAsia="宋体" w:cs="宋体"/>
                <w:color w:val="000000"/>
                <w:szCs w:val="20"/>
              </w:rPr>
              <w:t>不接受联合体投标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312" w:lineRule="auto"/>
              <w:jc w:val="center"/>
              <w:rPr>
                <w:rFonts w:ascii="宋体" w:hAnsi="宋体" w:eastAsia="宋体" w:cs="宋体"/>
                <w:b/>
                <w:color w:val="000000"/>
                <w:szCs w:val="20"/>
              </w:rPr>
            </w:pPr>
            <w:r>
              <w:rPr>
                <w:rFonts w:hint="eastAsia" w:ascii="宋体" w:hAnsi="宋体" w:eastAsia="宋体" w:cs="宋体"/>
                <w:color w:val="000000"/>
                <w:szCs w:val="20"/>
              </w:rPr>
              <w:t>1.9.1</w:t>
            </w:r>
          </w:p>
        </w:tc>
        <w:tc>
          <w:tcPr>
            <w:tcW w:w="2181" w:type="dxa"/>
            <w:vAlign w:val="center"/>
          </w:tcPr>
          <w:p>
            <w:pPr>
              <w:spacing w:line="312" w:lineRule="auto"/>
              <w:rPr>
                <w:rFonts w:ascii="宋体" w:hAnsi="宋体" w:eastAsia="宋体" w:cs="宋体"/>
                <w:b/>
                <w:color w:val="000000"/>
                <w:szCs w:val="20"/>
              </w:rPr>
            </w:pPr>
            <w:r>
              <w:rPr>
                <w:rFonts w:hint="eastAsia" w:ascii="宋体" w:hAnsi="宋体" w:eastAsia="宋体" w:cs="宋体"/>
                <w:color w:val="000000"/>
                <w:kern w:val="0"/>
                <w:szCs w:val="20"/>
              </w:rPr>
              <w:t>踏勘现场</w:t>
            </w:r>
          </w:p>
        </w:tc>
        <w:tc>
          <w:tcPr>
            <w:tcW w:w="5974" w:type="dxa"/>
            <w:vAlign w:val="center"/>
          </w:tcPr>
          <w:p>
            <w:pPr>
              <w:spacing w:line="312" w:lineRule="auto"/>
              <w:rPr>
                <w:rFonts w:ascii="宋体" w:hAnsi="宋体" w:eastAsia="宋体" w:cs="宋体"/>
                <w:b/>
                <w:color w:val="000000"/>
                <w:szCs w:val="20"/>
                <w:u w:val="single"/>
              </w:rPr>
            </w:pPr>
            <w:r>
              <w:rPr>
                <w:rFonts w:hint="eastAsia" w:ascii="宋体" w:hAnsi="宋体" w:eastAsia="宋体" w:cs="宋体"/>
                <w:color w:val="000000"/>
                <w:szCs w:val="20"/>
              </w:rPr>
              <w:t xml:space="preserve">招标人不组织集中踏勘现场，投标人自行踏勘现场 </w:t>
            </w:r>
            <w:r>
              <w:rPr>
                <w:rFonts w:hint="eastAsia" w:ascii="宋体" w:hAnsi="宋体" w:eastAsia="宋体" w:cs="宋体"/>
                <w:color w:val="000000"/>
                <w:kern w:val="0"/>
                <w:szCs w:val="21"/>
              </w:rPr>
              <w:t xml:space="preserve">  </w:t>
            </w:r>
            <w:r>
              <w:rPr>
                <w:rFonts w:hint="eastAsia" w:ascii="宋体" w:hAnsi="宋体" w:eastAsia="宋体" w:cs="宋体"/>
                <w:color w:val="000000"/>
                <w:kern w:val="0"/>
                <w:szCs w:val="20"/>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1.10</w:t>
            </w:r>
          </w:p>
        </w:tc>
        <w:tc>
          <w:tcPr>
            <w:tcW w:w="2181" w:type="dxa"/>
            <w:vAlign w:val="center"/>
          </w:tcPr>
          <w:p>
            <w:pPr>
              <w:spacing w:line="312" w:lineRule="auto"/>
              <w:rPr>
                <w:rFonts w:ascii="宋体" w:hAnsi="宋体" w:eastAsia="宋体" w:cs="宋体"/>
                <w:color w:val="000000"/>
                <w:szCs w:val="20"/>
              </w:rPr>
            </w:pPr>
            <w:r>
              <w:rPr>
                <w:rFonts w:hint="eastAsia" w:ascii="宋体" w:hAnsi="宋体" w:eastAsia="宋体" w:cs="宋体"/>
                <w:color w:val="000000"/>
                <w:szCs w:val="20"/>
              </w:rPr>
              <w:t>投标预备会</w:t>
            </w:r>
          </w:p>
        </w:tc>
        <w:tc>
          <w:tcPr>
            <w:tcW w:w="5974" w:type="dxa"/>
            <w:vAlign w:val="center"/>
          </w:tcPr>
          <w:p>
            <w:pPr>
              <w:spacing w:line="312" w:lineRule="auto"/>
              <w:rPr>
                <w:rFonts w:ascii="宋体" w:hAnsi="宋体" w:eastAsia="宋体" w:cs="宋体"/>
                <w:color w:val="000000"/>
                <w:szCs w:val="20"/>
              </w:rPr>
            </w:pPr>
            <w:r>
              <w:rPr>
                <w:rFonts w:hint="eastAsia" w:ascii="宋体" w:hAnsi="宋体" w:eastAsia="宋体" w:cs="宋体"/>
                <w:color w:val="000000"/>
                <w:szCs w:val="20"/>
              </w:rPr>
              <w:t>不召开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1.11</w:t>
            </w:r>
          </w:p>
        </w:tc>
        <w:tc>
          <w:tcPr>
            <w:tcW w:w="2181" w:type="dxa"/>
            <w:vAlign w:val="center"/>
          </w:tcPr>
          <w:p>
            <w:pPr>
              <w:spacing w:line="312" w:lineRule="auto"/>
              <w:rPr>
                <w:rFonts w:ascii="宋体" w:hAnsi="宋体" w:eastAsia="宋体" w:cs="宋体"/>
                <w:color w:val="000000"/>
                <w:szCs w:val="20"/>
              </w:rPr>
            </w:pPr>
            <w:r>
              <w:rPr>
                <w:rFonts w:hint="eastAsia" w:ascii="宋体" w:hAnsi="宋体" w:eastAsia="宋体" w:cs="宋体"/>
                <w:color w:val="000000"/>
                <w:szCs w:val="20"/>
              </w:rPr>
              <w:t>偏离</w:t>
            </w:r>
          </w:p>
        </w:tc>
        <w:tc>
          <w:tcPr>
            <w:tcW w:w="5974" w:type="dxa"/>
            <w:vAlign w:val="center"/>
          </w:tcPr>
          <w:p>
            <w:pPr>
              <w:spacing w:line="312" w:lineRule="auto"/>
              <w:rPr>
                <w:rFonts w:ascii="宋体" w:hAnsi="宋体" w:eastAsia="宋体" w:cs="宋体"/>
                <w:szCs w:val="20"/>
              </w:rPr>
            </w:pPr>
            <w:r>
              <w:rPr>
                <w:rFonts w:hint="eastAsia" w:ascii="宋体" w:hAnsi="宋体" w:eastAsia="宋体" w:cs="宋体"/>
                <w:color w:val="000000"/>
                <w:szCs w:val="20"/>
              </w:rPr>
              <w:t>不允许负偏离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312" w:lineRule="auto"/>
              <w:jc w:val="center"/>
              <w:rPr>
                <w:rFonts w:ascii="宋体" w:hAnsi="宋体" w:eastAsia="宋体" w:cs="宋体"/>
                <w:color w:val="000000"/>
                <w:szCs w:val="21"/>
              </w:rPr>
            </w:pPr>
            <w:r>
              <w:rPr>
                <w:rFonts w:hint="eastAsia" w:ascii="宋体" w:hAnsi="宋体" w:eastAsia="宋体" w:cs="宋体"/>
                <w:color w:val="000000"/>
                <w:szCs w:val="20"/>
              </w:rPr>
              <w:t>2.1.1</w:t>
            </w:r>
          </w:p>
        </w:tc>
        <w:tc>
          <w:tcPr>
            <w:tcW w:w="2181" w:type="dxa"/>
            <w:vAlign w:val="center"/>
          </w:tcPr>
          <w:p>
            <w:pPr>
              <w:spacing w:line="312" w:lineRule="auto"/>
              <w:rPr>
                <w:rFonts w:ascii="宋体" w:hAnsi="宋体" w:eastAsia="宋体" w:cs="宋体"/>
                <w:color w:val="000000"/>
                <w:kern w:val="0"/>
                <w:szCs w:val="21"/>
              </w:rPr>
            </w:pPr>
            <w:r>
              <w:rPr>
                <w:rFonts w:hint="eastAsia" w:ascii="宋体" w:hAnsi="宋体" w:eastAsia="宋体" w:cs="宋体"/>
                <w:color w:val="000000"/>
                <w:kern w:val="0"/>
                <w:szCs w:val="21"/>
              </w:rPr>
              <w:t>构成招标文件的其它材料</w:t>
            </w:r>
          </w:p>
        </w:tc>
        <w:tc>
          <w:tcPr>
            <w:tcW w:w="5974" w:type="dxa"/>
            <w:vAlign w:val="center"/>
          </w:tcPr>
          <w:p>
            <w:pPr>
              <w:spacing w:line="312" w:lineRule="auto"/>
              <w:rPr>
                <w:rFonts w:ascii="宋体" w:hAnsi="宋体" w:eastAsia="宋体" w:cs="宋体"/>
                <w:color w:val="000000"/>
                <w:kern w:val="0"/>
                <w:szCs w:val="20"/>
              </w:rPr>
            </w:pPr>
            <w:r>
              <w:rPr>
                <w:rFonts w:hint="eastAsia" w:ascii="宋体" w:hAnsi="宋体" w:eastAsia="宋体" w:cs="宋体"/>
                <w:snapToGrid w:val="0"/>
                <w:szCs w:val="21"/>
              </w:rPr>
              <w:t>招标文件的澄清、修改、补充或答疑文件等内容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2.2.1</w:t>
            </w:r>
          </w:p>
        </w:tc>
        <w:tc>
          <w:tcPr>
            <w:tcW w:w="2181" w:type="dxa"/>
            <w:vAlign w:val="center"/>
          </w:tcPr>
          <w:p>
            <w:pPr>
              <w:rPr>
                <w:rFonts w:ascii="宋体" w:hAnsi="宋体" w:eastAsia="宋体" w:cs="宋体"/>
                <w:color w:val="000000"/>
                <w:kern w:val="0"/>
                <w:szCs w:val="21"/>
              </w:rPr>
            </w:pPr>
            <w:r>
              <w:rPr>
                <w:rFonts w:hint="eastAsia" w:ascii="宋体" w:hAnsi="宋体" w:eastAsia="宋体" w:cs="宋体"/>
                <w:color w:val="000000"/>
                <w:kern w:val="0"/>
                <w:szCs w:val="21"/>
              </w:rPr>
              <w:t>澄清和答疑</w:t>
            </w:r>
          </w:p>
        </w:tc>
        <w:tc>
          <w:tcPr>
            <w:tcW w:w="5974" w:type="dxa"/>
            <w:vAlign w:val="center"/>
          </w:tcPr>
          <w:p>
            <w:pPr>
              <w:rPr>
                <w:rFonts w:ascii="宋体" w:hAnsi="宋体" w:eastAsia="宋体" w:cs="宋体"/>
                <w:color w:val="0000FF"/>
                <w:szCs w:val="21"/>
                <w:u w:val="single"/>
              </w:rPr>
            </w:pPr>
            <w:r>
              <w:rPr>
                <w:rFonts w:hint="eastAsia" w:ascii="宋体" w:hAnsi="宋体" w:eastAsia="宋体" w:cs="宋体"/>
                <w:color w:val="0000FF"/>
                <w:szCs w:val="21"/>
              </w:rPr>
              <w:t xml:space="preserve">投标人要求澄清招标文件的截止时间： </w:t>
            </w:r>
            <w:r>
              <w:rPr>
                <w:rFonts w:hint="eastAsia" w:ascii="宋体" w:hAnsi="宋体" w:eastAsia="宋体" w:cs="宋体"/>
                <w:color w:val="0000FF"/>
                <w:szCs w:val="21"/>
                <w:u w:val="single"/>
              </w:rPr>
              <w:t xml:space="preserve">2025年 6  月16 日11：00时    </w:t>
            </w:r>
          </w:p>
          <w:p>
            <w:pPr>
              <w:rPr>
                <w:rFonts w:ascii="宋体" w:hAnsi="宋体" w:eastAsia="宋体" w:cs="宋体"/>
                <w:color w:val="0000FF"/>
                <w:szCs w:val="21"/>
                <w:u w:val="single"/>
              </w:rPr>
            </w:pPr>
            <w:r>
              <w:rPr>
                <w:rFonts w:hint="eastAsia" w:ascii="宋体" w:hAnsi="宋体" w:eastAsia="宋体" w:cs="宋体"/>
                <w:color w:val="0000FF"/>
                <w:szCs w:val="21"/>
                <w:u w:val="single"/>
              </w:rPr>
              <w:t>方式：电子化交易系统中“网上提问”模块</w:t>
            </w:r>
          </w:p>
          <w:p>
            <w:pPr>
              <w:rPr>
                <w:rFonts w:ascii="宋体" w:hAnsi="宋体" w:eastAsia="宋体" w:cs="宋体"/>
                <w:color w:val="0000FF"/>
                <w:szCs w:val="21"/>
                <w:u w:val="single"/>
              </w:rPr>
            </w:pPr>
            <w:r>
              <w:rPr>
                <w:rFonts w:hint="eastAsia" w:ascii="宋体" w:hAnsi="宋体" w:eastAsia="宋体" w:cs="宋体"/>
                <w:color w:val="0000FF"/>
                <w:szCs w:val="21"/>
                <w:u w:val="single"/>
              </w:rPr>
              <w:t xml:space="preserve">招标人书面澄清的时间：2025年 6  月 16 日17:00时   </w:t>
            </w:r>
          </w:p>
          <w:p>
            <w:pPr>
              <w:spacing w:line="312" w:lineRule="auto"/>
              <w:rPr>
                <w:rFonts w:ascii="宋体" w:hAnsi="宋体" w:eastAsia="宋体" w:cs="宋体"/>
                <w:color w:val="000000"/>
                <w:szCs w:val="20"/>
              </w:rPr>
            </w:pPr>
            <w:r>
              <w:rPr>
                <w:rFonts w:hint="eastAsia" w:ascii="宋体" w:hAnsi="宋体" w:eastAsia="宋体" w:cs="宋体"/>
                <w:color w:val="000000"/>
                <w:szCs w:val="21"/>
              </w:rPr>
              <w:t>获取方式：</w:t>
            </w:r>
            <w:r>
              <w:rPr>
                <w:rFonts w:hint="eastAsia" w:ascii="宋体" w:hAnsi="宋体" w:eastAsia="宋体" w:cs="Times New Roman"/>
                <w:color w:val="000000"/>
                <w:spacing w:val="-5"/>
                <w:szCs w:val="21"/>
              </w:rPr>
              <w:t>仪征市限额以下公共资源交易平台</w:t>
            </w:r>
            <w:r>
              <w:rPr>
                <w:rFonts w:ascii="宋体" w:hAnsi="宋体" w:eastAsia="宋体" w:cs="Times New Roman"/>
                <w:color w:val="000000"/>
                <w:spacing w:val="-5"/>
                <w:szCs w:val="21"/>
              </w:rPr>
              <w:t>“答疑下载”模块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3.1.1</w:t>
            </w:r>
          </w:p>
        </w:tc>
        <w:tc>
          <w:tcPr>
            <w:tcW w:w="2181" w:type="dxa"/>
            <w:vAlign w:val="center"/>
          </w:tcPr>
          <w:p>
            <w:pPr>
              <w:spacing w:line="312" w:lineRule="auto"/>
              <w:rPr>
                <w:rFonts w:ascii="宋体" w:hAnsi="宋体" w:eastAsia="宋体" w:cs="宋体"/>
                <w:color w:val="000000"/>
                <w:szCs w:val="20"/>
              </w:rPr>
            </w:pPr>
            <w:r>
              <w:rPr>
                <w:rFonts w:hint="eastAsia" w:ascii="宋体" w:hAnsi="宋体" w:eastAsia="宋体" w:cs="宋体"/>
                <w:color w:val="000000"/>
                <w:szCs w:val="20"/>
              </w:rPr>
              <w:t>投标文件的组成</w:t>
            </w:r>
          </w:p>
        </w:tc>
        <w:tc>
          <w:tcPr>
            <w:tcW w:w="5974" w:type="dxa"/>
            <w:vAlign w:val="center"/>
          </w:tcPr>
          <w:p>
            <w:pPr>
              <w:spacing w:after="120"/>
              <w:rPr>
                <w:rFonts w:ascii="宋体" w:hAnsi="宋体" w:eastAsia="宋体" w:cs="宋体"/>
                <w:szCs w:val="21"/>
              </w:rPr>
            </w:pPr>
            <w:r>
              <w:rPr>
                <w:rFonts w:ascii="宋体" w:hAnsi="宋体" w:eastAsia="宋体" w:cs="宋体"/>
                <w:szCs w:val="21"/>
              </w:rPr>
              <w:t>以下资料需将原件</w:t>
            </w:r>
            <w:r>
              <w:rPr>
                <w:rFonts w:hint="eastAsia" w:ascii="宋体" w:hAnsi="宋体" w:eastAsia="宋体" w:cs="宋体"/>
                <w:szCs w:val="21"/>
              </w:rPr>
              <w:t>彩色</w:t>
            </w:r>
            <w:r>
              <w:rPr>
                <w:rFonts w:ascii="宋体" w:hAnsi="宋体" w:eastAsia="宋体" w:cs="宋体"/>
                <w:szCs w:val="21"/>
              </w:rPr>
              <w:t>扫描件添加进电子投标文件，原件开标时不再进行复核</w:t>
            </w:r>
            <w:r>
              <w:rPr>
                <w:rFonts w:hint="eastAsia" w:ascii="宋体" w:hAnsi="宋体" w:eastAsia="宋体" w:cs="宋体"/>
                <w:szCs w:val="21"/>
              </w:rPr>
              <w:t>：</w:t>
            </w:r>
          </w:p>
          <w:p>
            <w:pPr>
              <w:spacing w:after="120"/>
              <w:rPr>
                <w:rFonts w:ascii="宋体" w:hAnsi="宋体" w:eastAsia="宋体" w:cs="宋体"/>
                <w:szCs w:val="21"/>
              </w:rPr>
            </w:pPr>
            <w:r>
              <w:rPr>
                <w:rFonts w:hint="eastAsia" w:ascii="宋体" w:hAnsi="宋体" w:eastAsia="宋体" w:cs="宋体"/>
                <w:szCs w:val="21"/>
              </w:rPr>
              <w:t>1、资格审查文件：</w:t>
            </w:r>
          </w:p>
          <w:p>
            <w:pPr>
              <w:tabs>
                <w:tab w:val="left" w:pos="1300"/>
                <w:tab w:val="left" w:pos="1600"/>
              </w:tabs>
              <w:spacing w:after="120"/>
              <w:rPr>
                <w:rFonts w:ascii="宋体" w:hAnsi="宋体" w:eastAsia="宋体" w:cs="宋体"/>
                <w:szCs w:val="21"/>
              </w:rPr>
            </w:pPr>
            <w:r>
              <w:rPr>
                <w:rFonts w:hint="eastAsia" w:ascii="宋体" w:hAnsi="宋体" w:eastAsia="宋体" w:cs="宋体"/>
                <w:szCs w:val="21"/>
              </w:rPr>
              <w:t>（1）法定代表人身份证明或附有法定代表人身份证明的授权委托书；</w:t>
            </w:r>
          </w:p>
          <w:p>
            <w:pPr>
              <w:tabs>
                <w:tab w:val="left" w:pos="1300"/>
                <w:tab w:val="left" w:pos="1600"/>
              </w:tabs>
              <w:spacing w:after="120"/>
              <w:rPr>
                <w:rFonts w:ascii="宋体" w:hAnsi="宋体" w:eastAsia="宋体" w:cs="宋体"/>
                <w:szCs w:val="21"/>
              </w:rPr>
            </w:pPr>
            <w:r>
              <w:rPr>
                <w:rFonts w:hint="eastAsia" w:ascii="宋体" w:hAnsi="宋体" w:eastAsia="宋体" w:cs="宋体"/>
                <w:szCs w:val="21"/>
              </w:rPr>
              <w:t>（2）</w:t>
            </w:r>
            <w:r>
              <w:rPr>
                <w:rFonts w:ascii="宋体" w:hAnsi="宋体" w:eastAsia="宋体" w:cs="宋体"/>
                <w:szCs w:val="21"/>
              </w:rPr>
              <w:t>申请资格审查人简介</w:t>
            </w:r>
            <w:r>
              <w:rPr>
                <w:rFonts w:hint="eastAsia" w:ascii="宋体" w:hAnsi="宋体" w:eastAsia="宋体" w:cs="宋体"/>
                <w:szCs w:val="21"/>
              </w:rPr>
              <w:t>；</w:t>
            </w:r>
          </w:p>
          <w:p>
            <w:pPr>
              <w:tabs>
                <w:tab w:val="left" w:pos="1300"/>
                <w:tab w:val="left" w:pos="1600"/>
              </w:tabs>
              <w:spacing w:after="120"/>
              <w:rPr>
                <w:rFonts w:ascii="宋体" w:hAnsi="宋体" w:eastAsia="宋体" w:cs="宋体"/>
                <w:szCs w:val="21"/>
              </w:rPr>
            </w:pPr>
            <w:r>
              <w:rPr>
                <w:rFonts w:hint="eastAsia" w:ascii="宋体" w:hAnsi="宋体" w:eastAsia="宋体" w:cs="宋体"/>
                <w:szCs w:val="21"/>
              </w:rPr>
              <w:t>（3）投标人企业营业执照；</w:t>
            </w:r>
          </w:p>
          <w:p>
            <w:pPr>
              <w:tabs>
                <w:tab w:val="left" w:pos="1300"/>
                <w:tab w:val="left" w:pos="1600"/>
              </w:tabs>
              <w:spacing w:after="120"/>
              <w:rPr>
                <w:rFonts w:ascii="宋体" w:hAnsi="宋体" w:eastAsia="宋体" w:cs="宋体"/>
                <w:szCs w:val="21"/>
              </w:rPr>
            </w:pPr>
            <w:r>
              <w:rPr>
                <w:rFonts w:hint="eastAsia" w:ascii="宋体" w:hAnsi="宋体" w:eastAsia="宋体" w:cs="宋体"/>
                <w:szCs w:val="21"/>
              </w:rPr>
              <w:t>（4）投标人为授权委托人、项目负责人缴纳（2025年3月-2025年5月）任意一个月在职职工养老保险的证明材料；采用网上自助查询方式的，如当地社保管理部门明确的最大查询期与招标文件规定的月份不一致时，须提供社保管理部门的文件）;</w:t>
            </w:r>
          </w:p>
          <w:p>
            <w:pPr>
              <w:shd w:val="solid" w:color="FFFFFF" w:fill="auto"/>
              <w:spacing w:after="120"/>
              <w:jc w:val="left"/>
              <w:rPr>
                <w:rFonts w:ascii="宋体" w:hAnsi="宋体" w:eastAsia="宋体" w:cs="宋体"/>
                <w:szCs w:val="21"/>
              </w:rPr>
            </w:pPr>
            <w:r>
              <w:rPr>
                <w:rFonts w:hint="eastAsia" w:ascii="宋体" w:hAnsi="宋体" w:eastAsia="宋体" w:cs="宋体"/>
                <w:szCs w:val="21"/>
              </w:rPr>
              <w:t>（5）具备履行合同所必需的设备和专业技术能力的书面声明；</w:t>
            </w:r>
          </w:p>
          <w:p>
            <w:pPr>
              <w:tabs>
                <w:tab w:val="left" w:pos="1300"/>
                <w:tab w:val="left" w:pos="1600"/>
              </w:tabs>
              <w:spacing w:after="120"/>
              <w:rPr>
                <w:rFonts w:ascii="宋体" w:hAnsi="宋体" w:eastAsia="宋体" w:cs="宋体"/>
                <w:szCs w:val="21"/>
              </w:rPr>
            </w:pPr>
            <w:r>
              <w:rPr>
                <w:rFonts w:hint="eastAsia" w:ascii="宋体" w:hAnsi="宋体" w:eastAsia="宋体" w:cs="宋体"/>
                <w:szCs w:val="21"/>
              </w:rPr>
              <w:t>（6）投标人2025年2月至2025年4月内任意一份依法纳税的缴款凭证（投标人依法享受缓缴、免缴的提供证明材料）；</w:t>
            </w:r>
          </w:p>
          <w:p>
            <w:pPr>
              <w:tabs>
                <w:tab w:val="left" w:pos="1300"/>
                <w:tab w:val="left" w:pos="1600"/>
              </w:tabs>
              <w:spacing w:after="120"/>
              <w:rPr>
                <w:rFonts w:ascii="宋体" w:hAnsi="宋体" w:eastAsia="宋体" w:cs="宋体"/>
                <w:szCs w:val="21"/>
              </w:rPr>
            </w:pPr>
            <w:r>
              <w:rPr>
                <w:rFonts w:hint="eastAsia" w:ascii="宋体" w:hAnsi="宋体" w:eastAsia="宋体" w:cs="宋体"/>
                <w:szCs w:val="21"/>
              </w:rPr>
              <w:t>（7）税务、银行或社会保险基金管理部门出具的2025年2月至2025年4月内任意一个月缴纳职工社会保障资金的缴款凭证或缴款证明（投标人依法享受缓缴、免缴的提供证明材料）；</w:t>
            </w:r>
          </w:p>
          <w:p>
            <w:pPr>
              <w:spacing w:after="120"/>
              <w:rPr>
                <w:rFonts w:ascii="宋体" w:hAnsi="宋体" w:eastAsia="宋体" w:cs="宋体"/>
                <w:szCs w:val="21"/>
              </w:rPr>
            </w:pPr>
            <w:r>
              <w:rPr>
                <w:rFonts w:hint="eastAsia" w:ascii="宋体" w:hAnsi="宋体" w:eastAsia="宋体" w:cs="宋体"/>
                <w:szCs w:val="21"/>
              </w:rPr>
              <w:t>（8）2024年度的财务报告情况（成立不满一年不需提供）；</w:t>
            </w:r>
          </w:p>
          <w:p>
            <w:pPr>
              <w:spacing w:after="120"/>
              <w:rPr>
                <w:rFonts w:ascii="宋体" w:hAnsi="宋体" w:eastAsia="宋体" w:cs="宋体"/>
                <w:szCs w:val="21"/>
              </w:rPr>
            </w:pPr>
            <w:r>
              <w:rPr>
                <w:rFonts w:hint="eastAsia" w:ascii="宋体" w:hAnsi="宋体" w:eastAsia="宋体" w:cs="宋体"/>
                <w:szCs w:val="21"/>
              </w:rPr>
              <w:t>（9）工业产品生产许可证；</w:t>
            </w:r>
          </w:p>
          <w:p>
            <w:pPr>
              <w:spacing w:after="120"/>
              <w:rPr>
                <w:rFonts w:ascii="宋体" w:hAnsi="宋体" w:eastAsia="宋体" w:cs="宋体"/>
                <w:szCs w:val="21"/>
              </w:rPr>
            </w:pPr>
            <w:r>
              <w:rPr>
                <w:rFonts w:hint="eastAsia" w:ascii="宋体" w:hAnsi="宋体" w:eastAsia="宋体" w:cs="宋体"/>
                <w:szCs w:val="21"/>
              </w:rPr>
              <w:t>（10）消防产品认证证书（范围防火门、窗）；</w:t>
            </w:r>
          </w:p>
          <w:p>
            <w:pPr>
              <w:spacing w:after="120"/>
              <w:rPr>
                <w:rFonts w:ascii="宋体" w:hAnsi="宋体" w:eastAsia="宋体" w:cs="宋体"/>
                <w:szCs w:val="21"/>
              </w:rPr>
            </w:pPr>
            <w:r>
              <w:rPr>
                <w:rFonts w:hint="eastAsia" w:ascii="宋体" w:hAnsi="宋体" w:eastAsia="宋体" w:cs="宋体"/>
                <w:szCs w:val="21"/>
              </w:rPr>
              <w:t>（11）</w:t>
            </w:r>
            <w:r>
              <w:rPr>
                <w:rFonts w:ascii="宋体" w:hAnsi="宋体" w:eastAsia="宋体" w:cs="宋体"/>
                <w:szCs w:val="21"/>
              </w:rPr>
              <w:t>生产防火门、窗型式认可证书</w:t>
            </w:r>
            <w:r>
              <w:rPr>
                <w:rFonts w:hint="eastAsia" w:ascii="宋体" w:hAnsi="宋体" w:eastAsia="宋体" w:cs="宋体"/>
                <w:szCs w:val="21"/>
              </w:rPr>
              <w:t>；</w:t>
            </w:r>
          </w:p>
          <w:p>
            <w:pPr>
              <w:spacing w:after="120"/>
              <w:rPr>
                <w:rFonts w:ascii="宋体" w:hAnsi="宋体" w:eastAsia="宋体" w:cs="宋体"/>
                <w:szCs w:val="21"/>
              </w:rPr>
            </w:pPr>
            <w:r>
              <w:rPr>
                <w:rFonts w:hint="eastAsia" w:ascii="宋体" w:hAnsi="宋体" w:eastAsia="宋体" w:cs="宋体"/>
                <w:szCs w:val="21"/>
              </w:rPr>
              <w:t>（12）经国家认可的第三方权威检测机构出具的所投防火门（甲级、乙级、丙级）和防火窗（乙级）有效期内的型式检验（检测）报告；</w:t>
            </w:r>
          </w:p>
          <w:p>
            <w:pPr>
              <w:spacing w:after="120"/>
              <w:rPr>
                <w:rFonts w:ascii="宋体" w:hAnsi="宋体" w:eastAsia="宋体" w:cs="宋体"/>
                <w:szCs w:val="21"/>
              </w:rPr>
            </w:pPr>
            <w:r>
              <w:rPr>
                <w:rFonts w:ascii="宋体" w:hAnsi="宋体" w:eastAsia="宋体" w:cs="宋体"/>
                <w:szCs w:val="21"/>
              </w:rPr>
              <w:t>（</w:t>
            </w:r>
            <w:r>
              <w:rPr>
                <w:rFonts w:hint="eastAsia" w:ascii="宋体" w:hAnsi="宋体" w:eastAsia="宋体" w:cs="宋体"/>
                <w:szCs w:val="21"/>
              </w:rPr>
              <w:t>13</w:t>
            </w:r>
            <w:r>
              <w:rPr>
                <w:rFonts w:ascii="宋体" w:hAnsi="宋体" w:eastAsia="宋体" w:cs="宋体"/>
                <w:szCs w:val="21"/>
              </w:rPr>
              <w:t>）</w:t>
            </w:r>
            <w:r>
              <w:rPr>
                <w:rFonts w:hint="eastAsia" w:ascii="宋体" w:hAnsi="宋体" w:eastAsia="宋体" w:cs="宋体"/>
                <w:szCs w:val="21"/>
              </w:rPr>
              <w:t>消防设施工程专业承包资质证书；</w:t>
            </w:r>
          </w:p>
          <w:p>
            <w:pPr>
              <w:spacing w:after="120"/>
              <w:rPr>
                <w:rFonts w:ascii="宋体" w:hAnsi="宋体" w:eastAsia="宋体" w:cs="宋体"/>
                <w:szCs w:val="21"/>
              </w:rPr>
            </w:pPr>
            <w:r>
              <w:rPr>
                <w:rFonts w:hint="eastAsia" w:ascii="宋体" w:hAnsi="宋体" w:eastAsia="宋体" w:cs="宋体"/>
                <w:szCs w:val="21"/>
              </w:rPr>
              <w:t>（14）</w:t>
            </w:r>
            <w:r>
              <w:rPr>
                <w:rFonts w:ascii="宋体" w:hAnsi="宋体" w:eastAsia="宋体" w:cs="宋体"/>
                <w:szCs w:val="21"/>
              </w:rPr>
              <w:t>企业安全生产许可证；</w:t>
            </w:r>
          </w:p>
          <w:p>
            <w:pPr>
              <w:spacing w:after="120"/>
              <w:rPr>
                <w:rFonts w:ascii="宋体" w:hAnsi="宋体" w:eastAsia="宋体" w:cs="宋体"/>
                <w:szCs w:val="21"/>
              </w:rPr>
            </w:pPr>
            <w:r>
              <w:rPr>
                <w:rFonts w:hint="eastAsia" w:ascii="宋体" w:hAnsi="宋体" w:eastAsia="宋体" w:cs="宋体"/>
                <w:szCs w:val="21"/>
              </w:rPr>
              <w:t>（15）项目负责人建造师注册证书安全生产考核合格证书（B证）；</w:t>
            </w:r>
          </w:p>
          <w:p>
            <w:pPr>
              <w:spacing w:after="120"/>
              <w:rPr>
                <w:rFonts w:ascii="宋体" w:hAnsi="宋体" w:eastAsia="宋体" w:cs="宋体"/>
                <w:szCs w:val="21"/>
              </w:rPr>
            </w:pPr>
            <w:r>
              <w:rPr>
                <w:rFonts w:hint="eastAsia" w:ascii="宋体" w:hAnsi="宋体" w:eastAsia="宋体" w:cs="宋体"/>
                <w:szCs w:val="21"/>
              </w:rPr>
              <w:t>（16）业绩</w:t>
            </w:r>
            <w:r>
              <w:rPr>
                <w:rFonts w:ascii="宋体" w:hAnsi="宋体" w:eastAsia="宋体" w:cs="宋体"/>
                <w:szCs w:val="21"/>
              </w:rPr>
              <w:t>证明材料（提供合同原件、发票原件、国家税务总局全国增值税发票查验平台查验截图）；</w:t>
            </w:r>
          </w:p>
          <w:p>
            <w:pPr>
              <w:spacing w:after="120"/>
              <w:rPr>
                <w:rFonts w:ascii="宋体" w:hAnsi="宋体" w:eastAsia="宋体" w:cs="宋体"/>
                <w:szCs w:val="21"/>
              </w:rPr>
            </w:pPr>
            <w:r>
              <w:rPr>
                <w:rFonts w:hint="eastAsia" w:ascii="宋体" w:hAnsi="宋体" w:eastAsia="宋体" w:cs="宋体"/>
                <w:szCs w:val="21"/>
              </w:rPr>
              <w:t>（17）真实性承诺书；</w:t>
            </w:r>
          </w:p>
          <w:p>
            <w:pPr>
              <w:spacing w:after="120"/>
              <w:rPr>
                <w:rFonts w:ascii="宋体" w:hAnsi="宋体" w:eastAsia="宋体" w:cs="宋体"/>
                <w:szCs w:val="21"/>
              </w:rPr>
            </w:pPr>
            <w:r>
              <w:rPr>
                <w:rFonts w:hint="eastAsia" w:ascii="宋体" w:hAnsi="宋体" w:eastAsia="宋体" w:cs="宋体"/>
                <w:szCs w:val="21"/>
              </w:rPr>
              <w:t>（18）投标人认为其他需要提供的材料</w:t>
            </w:r>
          </w:p>
          <w:p>
            <w:pPr>
              <w:spacing w:after="120"/>
              <w:rPr>
                <w:rFonts w:ascii="宋体" w:hAnsi="宋体" w:eastAsia="宋体" w:cs="宋体"/>
                <w:szCs w:val="21"/>
              </w:rPr>
            </w:pPr>
            <w:r>
              <w:rPr>
                <w:rFonts w:hint="eastAsia" w:ascii="宋体" w:hAnsi="宋体" w:eastAsia="宋体" w:cs="宋体"/>
                <w:szCs w:val="21"/>
              </w:rPr>
              <w:t>2、投标文件其他组成材料：</w:t>
            </w:r>
          </w:p>
          <w:p>
            <w:pPr>
              <w:spacing w:after="120"/>
              <w:textAlignment w:val="center"/>
              <w:rPr>
                <w:rFonts w:ascii="宋体" w:hAnsi="宋体" w:eastAsia="宋体" w:cs="宋体"/>
                <w:szCs w:val="21"/>
              </w:rPr>
            </w:pPr>
            <w:r>
              <w:rPr>
                <w:rFonts w:hint="eastAsia" w:ascii="宋体" w:hAnsi="宋体" w:eastAsia="宋体" w:cs="宋体"/>
                <w:szCs w:val="21"/>
              </w:rPr>
              <w:t>（1）投标函</w:t>
            </w:r>
          </w:p>
          <w:p>
            <w:pPr>
              <w:spacing w:after="120"/>
              <w:textAlignment w:val="center"/>
              <w:rPr>
                <w:rFonts w:ascii="宋体" w:hAnsi="宋体" w:eastAsia="宋体" w:cs="宋体"/>
                <w:szCs w:val="21"/>
              </w:rPr>
            </w:pPr>
            <w:r>
              <w:rPr>
                <w:rFonts w:hint="eastAsia" w:ascii="宋体" w:hAnsi="宋体" w:eastAsia="宋体" w:cs="宋体"/>
                <w:szCs w:val="21"/>
              </w:rPr>
              <w:t>（2）授权委托书</w:t>
            </w:r>
          </w:p>
          <w:p>
            <w:pPr>
              <w:spacing w:after="120"/>
              <w:textAlignment w:val="center"/>
              <w:rPr>
                <w:rFonts w:ascii="宋体" w:hAnsi="宋体" w:eastAsia="宋体" w:cs="宋体"/>
                <w:szCs w:val="21"/>
              </w:rPr>
            </w:pPr>
            <w:r>
              <w:rPr>
                <w:rFonts w:hint="eastAsia" w:ascii="宋体" w:hAnsi="宋体" w:eastAsia="宋体" w:cs="宋体"/>
                <w:szCs w:val="21"/>
              </w:rPr>
              <w:t>（3）投标报价明细表</w:t>
            </w:r>
          </w:p>
          <w:p>
            <w:pPr>
              <w:spacing w:after="120"/>
              <w:rPr>
                <w:rFonts w:ascii="宋体" w:hAnsi="宋体" w:eastAsia="宋体" w:cs="宋体"/>
                <w:szCs w:val="21"/>
              </w:rPr>
            </w:pPr>
            <w:r>
              <w:rPr>
                <w:rFonts w:hint="eastAsia" w:ascii="宋体" w:hAnsi="宋体" w:eastAsia="宋体" w:cs="宋体"/>
                <w:szCs w:val="21"/>
              </w:rPr>
              <w:t>3、其他投标人认为需要提供的资料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3.2.2</w:t>
            </w:r>
          </w:p>
        </w:tc>
        <w:tc>
          <w:tcPr>
            <w:tcW w:w="2181" w:type="dxa"/>
            <w:vAlign w:val="center"/>
          </w:tcPr>
          <w:p>
            <w:pPr>
              <w:spacing w:line="312" w:lineRule="auto"/>
              <w:rPr>
                <w:rFonts w:ascii="宋体" w:hAnsi="宋体" w:eastAsia="宋体" w:cs="宋体"/>
                <w:color w:val="000000"/>
                <w:szCs w:val="20"/>
              </w:rPr>
            </w:pPr>
            <w:r>
              <w:rPr>
                <w:rFonts w:hint="eastAsia" w:ascii="宋体" w:hAnsi="宋体" w:eastAsia="宋体" w:cs="宋体"/>
                <w:color w:val="000000"/>
                <w:szCs w:val="20"/>
              </w:rPr>
              <w:t>投标报价要求</w:t>
            </w:r>
          </w:p>
        </w:tc>
        <w:tc>
          <w:tcPr>
            <w:tcW w:w="5974" w:type="dxa"/>
            <w:vAlign w:val="center"/>
          </w:tcPr>
          <w:p>
            <w:pPr>
              <w:adjustRightInd w:val="0"/>
              <w:snapToGrid w:val="0"/>
              <w:spacing w:line="312" w:lineRule="auto"/>
              <w:rPr>
                <w:rFonts w:ascii="宋体" w:hAnsi="宋体" w:eastAsia="宋体" w:cs="宋体"/>
                <w:color w:val="000000"/>
                <w:szCs w:val="20"/>
              </w:rPr>
            </w:pPr>
            <w:r>
              <w:rPr>
                <w:rFonts w:hint="eastAsia" w:ascii="宋体" w:hAnsi="宋体" w:eastAsia="宋体" w:cs="宋体"/>
                <w:color w:val="000000"/>
                <w:szCs w:val="20"/>
              </w:rPr>
              <w:t>1、投标人的投标报价不得超过公布的总价最高投标限价和各项单价最高限价，否则为无效标。</w:t>
            </w:r>
          </w:p>
          <w:p>
            <w:pPr>
              <w:autoSpaceDE w:val="0"/>
              <w:autoSpaceDN w:val="0"/>
              <w:adjustRightInd w:val="0"/>
              <w:spacing w:line="312" w:lineRule="auto"/>
              <w:jc w:val="left"/>
              <w:rPr>
                <w:rFonts w:ascii="宋体" w:hAnsi="宋体" w:eastAsia="宋体" w:cs="宋体"/>
                <w:szCs w:val="21"/>
              </w:rPr>
            </w:pPr>
            <w:r>
              <w:rPr>
                <w:rFonts w:hint="eastAsia" w:ascii="宋体" w:hAnsi="宋体" w:eastAsia="Cambria Math" w:cs="宋体"/>
                <w:color w:val="000000"/>
                <w:kern w:val="0"/>
                <w:sz w:val="24"/>
                <w:szCs w:val="24"/>
              </w:rPr>
              <w:t>2</w:t>
            </w:r>
            <w:r>
              <w:rPr>
                <w:rFonts w:hint="eastAsia" w:ascii="宋体" w:hAnsi="宋体" w:eastAsia="宋体" w:cs="宋体"/>
                <w:color w:val="000000"/>
                <w:kern w:val="0"/>
                <w:sz w:val="24"/>
                <w:szCs w:val="24"/>
              </w:rPr>
              <w:t>、</w:t>
            </w:r>
            <w:r>
              <w:rPr>
                <w:rFonts w:hint="eastAsia" w:ascii="宋体" w:hAnsi="宋体" w:eastAsia="宋体" w:cs="宋体"/>
                <w:szCs w:val="21"/>
              </w:rPr>
              <w:t>投标报价包括但不限于：防火门、防火窗的设计深化、加工、制作、运输、装卸（货到工地后投标人负责卸至招标人指定楼层位置，并堆放整齐）、安装(包含五金、灌浆等)、检测、消防验收、税金等一切费用。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3.2.3</w:t>
            </w:r>
          </w:p>
        </w:tc>
        <w:tc>
          <w:tcPr>
            <w:tcW w:w="2181" w:type="dxa"/>
            <w:vAlign w:val="center"/>
          </w:tcPr>
          <w:p>
            <w:pPr>
              <w:spacing w:line="312" w:lineRule="auto"/>
              <w:rPr>
                <w:rFonts w:ascii="宋体" w:hAnsi="宋体" w:eastAsia="宋体" w:cs="宋体"/>
                <w:color w:val="000000"/>
                <w:szCs w:val="20"/>
              </w:rPr>
            </w:pPr>
            <w:r>
              <w:rPr>
                <w:rFonts w:hint="eastAsia" w:ascii="宋体" w:hAnsi="宋体" w:eastAsia="宋体" w:cs="宋体"/>
                <w:color w:val="000000"/>
                <w:szCs w:val="20"/>
              </w:rPr>
              <w:t>最高投标限价</w:t>
            </w:r>
          </w:p>
        </w:tc>
        <w:tc>
          <w:tcPr>
            <w:tcW w:w="5974" w:type="dxa"/>
            <w:vAlign w:val="center"/>
          </w:tcPr>
          <w:p>
            <w:pPr>
              <w:spacing w:after="120"/>
              <w:rPr>
                <w:rFonts w:ascii="Times New Roman" w:hAnsi="Times New Roman" w:eastAsia="宋体" w:cs="Times New Roman"/>
                <w:szCs w:val="20"/>
              </w:rPr>
            </w:pPr>
            <w:r>
              <w:rPr>
                <w:rFonts w:hint="eastAsia" w:ascii="Times New Roman" w:hAnsi="Times New Roman" w:eastAsia="宋体" w:cs="Times New Roman"/>
                <w:szCs w:val="20"/>
              </w:rPr>
              <w:t>48.18996万元（本项目最高投标限价按13%税率计取）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3.3.1</w:t>
            </w:r>
          </w:p>
        </w:tc>
        <w:tc>
          <w:tcPr>
            <w:tcW w:w="2181" w:type="dxa"/>
            <w:vAlign w:val="center"/>
          </w:tcPr>
          <w:p>
            <w:pPr>
              <w:spacing w:line="312" w:lineRule="auto"/>
              <w:rPr>
                <w:rFonts w:ascii="宋体" w:hAnsi="宋体" w:eastAsia="宋体" w:cs="宋体"/>
                <w:color w:val="000000"/>
                <w:szCs w:val="20"/>
              </w:rPr>
            </w:pPr>
            <w:r>
              <w:rPr>
                <w:rFonts w:hint="eastAsia" w:ascii="宋体" w:hAnsi="宋体" w:eastAsia="宋体" w:cs="宋体"/>
                <w:color w:val="000000"/>
                <w:szCs w:val="20"/>
              </w:rPr>
              <w:t>投标有效期</w:t>
            </w:r>
          </w:p>
        </w:tc>
        <w:tc>
          <w:tcPr>
            <w:tcW w:w="5974" w:type="dxa"/>
            <w:vAlign w:val="center"/>
          </w:tcPr>
          <w:p>
            <w:pPr>
              <w:spacing w:line="312" w:lineRule="auto"/>
              <w:rPr>
                <w:rFonts w:ascii="宋体" w:hAnsi="宋体" w:eastAsia="宋体" w:cs="宋体"/>
                <w:color w:val="000000"/>
                <w:szCs w:val="20"/>
              </w:rPr>
            </w:pPr>
            <w:r>
              <w:rPr>
                <w:rFonts w:hint="eastAsia" w:ascii="宋体" w:hAnsi="宋体" w:eastAsia="宋体" w:cs="宋体"/>
                <w:color w:val="000000"/>
                <w:szCs w:val="20"/>
                <w:u w:val="single"/>
              </w:rPr>
              <w:t>60</w:t>
            </w:r>
            <w:r>
              <w:rPr>
                <w:rFonts w:hint="eastAsia" w:ascii="宋体" w:hAnsi="宋体" w:eastAsia="宋体" w:cs="宋体"/>
                <w:color w:val="000000"/>
                <w:szCs w:val="20"/>
                <w:u w:val="single"/>
                <w:lang w:val="zh-CN"/>
              </w:rPr>
              <w:t xml:space="preserve"> </w:t>
            </w:r>
            <w:r>
              <w:rPr>
                <w:rFonts w:hint="eastAsia" w:ascii="宋体" w:hAnsi="宋体" w:eastAsia="宋体" w:cs="宋体"/>
                <w:color w:val="000000"/>
                <w:szCs w:val="20"/>
                <w:lang w:val="zh-CN"/>
              </w:rPr>
              <w:t>日（从投标截止之日起算）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3.4.1</w:t>
            </w:r>
          </w:p>
        </w:tc>
        <w:tc>
          <w:tcPr>
            <w:tcW w:w="2181" w:type="dxa"/>
            <w:vAlign w:val="center"/>
          </w:tcPr>
          <w:p>
            <w:pPr>
              <w:spacing w:line="312" w:lineRule="auto"/>
              <w:rPr>
                <w:rFonts w:ascii="宋体" w:hAnsi="宋体" w:eastAsia="宋体" w:cs="宋体"/>
                <w:color w:val="000000"/>
                <w:szCs w:val="20"/>
              </w:rPr>
            </w:pPr>
            <w:r>
              <w:rPr>
                <w:rFonts w:hint="eastAsia" w:ascii="宋体" w:hAnsi="宋体" w:eastAsia="宋体" w:cs="宋体"/>
                <w:color w:val="000000"/>
                <w:szCs w:val="20"/>
              </w:rPr>
              <w:t>投标保证金</w:t>
            </w:r>
          </w:p>
        </w:tc>
        <w:tc>
          <w:tcPr>
            <w:tcW w:w="5974" w:type="dxa"/>
            <w:vAlign w:val="center"/>
          </w:tcPr>
          <w:p>
            <w:pPr>
              <w:spacing w:line="312" w:lineRule="auto"/>
              <w:rPr>
                <w:rFonts w:ascii="宋体" w:hAnsi="宋体" w:eastAsia="宋体" w:cs="宋体"/>
                <w:szCs w:val="20"/>
              </w:rPr>
            </w:pPr>
            <w:r>
              <w:rPr>
                <w:rFonts w:hint="eastAsia" w:ascii="宋体" w:hAnsi="宋体" w:eastAsia="宋体" w:cs="宋体"/>
                <w:szCs w:val="20"/>
              </w:rPr>
              <w:t>本项目无需缴纳投标保证金。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3.4.3</w:t>
            </w:r>
          </w:p>
        </w:tc>
        <w:tc>
          <w:tcPr>
            <w:tcW w:w="2181" w:type="dxa"/>
            <w:vAlign w:val="center"/>
          </w:tcPr>
          <w:p>
            <w:pPr>
              <w:spacing w:line="312" w:lineRule="auto"/>
              <w:rPr>
                <w:rFonts w:ascii="宋体" w:hAnsi="宋体" w:eastAsia="宋体" w:cs="宋体"/>
                <w:color w:val="000000"/>
                <w:szCs w:val="20"/>
              </w:rPr>
            </w:pPr>
            <w:r>
              <w:rPr>
                <w:rFonts w:hint="eastAsia" w:ascii="宋体" w:hAnsi="宋体" w:eastAsia="宋体" w:cs="宋体"/>
                <w:szCs w:val="21"/>
              </w:rPr>
              <w:t>投标保证金退还</w:t>
            </w:r>
          </w:p>
        </w:tc>
        <w:tc>
          <w:tcPr>
            <w:tcW w:w="5974" w:type="dxa"/>
            <w:vAlign w:val="center"/>
          </w:tcPr>
          <w:p>
            <w:pPr>
              <w:rPr>
                <w:rFonts w:ascii="宋体" w:hAnsi="宋体" w:eastAsia="宋体" w:cs="宋体"/>
                <w:szCs w:val="21"/>
              </w:rPr>
            </w:pPr>
            <w:r>
              <w:rPr>
                <w:rFonts w:hint="eastAsia" w:ascii="宋体" w:hAnsi="宋体" w:eastAsia="宋体" w:cs="宋体"/>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3.6</w:t>
            </w:r>
          </w:p>
        </w:tc>
        <w:tc>
          <w:tcPr>
            <w:tcW w:w="2181" w:type="dxa"/>
            <w:vAlign w:val="center"/>
          </w:tcPr>
          <w:p>
            <w:pPr>
              <w:spacing w:line="312" w:lineRule="auto"/>
              <w:rPr>
                <w:rFonts w:ascii="宋体" w:hAnsi="宋体" w:eastAsia="宋体" w:cs="宋体"/>
                <w:color w:val="000000"/>
                <w:szCs w:val="20"/>
              </w:rPr>
            </w:pPr>
            <w:r>
              <w:rPr>
                <w:rFonts w:hint="eastAsia" w:ascii="宋体" w:hAnsi="宋体" w:eastAsia="宋体" w:cs="宋体"/>
                <w:color w:val="000000"/>
                <w:szCs w:val="20"/>
              </w:rPr>
              <w:t>是否允许递交备选投标方案</w:t>
            </w:r>
          </w:p>
        </w:tc>
        <w:tc>
          <w:tcPr>
            <w:tcW w:w="5974" w:type="dxa"/>
            <w:vAlign w:val="center"/>
          </w:tcPr>
          <w:p>
            <w:pPr>
              <w:spacing w:line="312" w:lineRule="auto"/>
              <w:rPr>
                <w:rFonts w:ascii="宋体" w:hAnsi="宋体" w:eastAsia="宋体" w:cs="宋体"/>
                <w:color w:val="000000"/>
                <w:szCs w:val="20"/>
              </w:rPr>
            </w:pPr>
            <w:r>
              <w:rPr>
                <w:rFonts w:hint="eastAsia" w:ascii="宋体" w:hAnsi="宋体" w:eastAsia="宋体" w:cs="宋体"/>
                <w:color w:val="000000"/>
                <w:szCs w:val="20"/>
              </w:rPr>
              <w:t>不允许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4.2.1</w:t>
            </w:r>
          </w:p>
        </w:tc>
        <w:tc>
          <w:tcPr>
            <w:tcW w:w="2181" w:type="dxa"/>
            <w:vAlign w:val="center"/>
          </w:tcPr>
          <w:p>
            <w:pPr>
              <w:spacing w:line="312" w:lineRule="auto"/>
              <w:rPr>
                <w:rFonts w:ascii="宋体" w:hAnsi="宋体" w:eastAsia="宋体" w:cs="宋体"/>
                <w:szCs w:val="20"/>
              </w:rPr>
            </w:pPr>
            <w:r>
              <w:rPr>
                <w:rFonts w:hint="eastAsia" w:ascii="宋体" w:hAnsi="宋体" w:eastAsia="宋体" w:cs="宋体"/>
                <w:szCs w:val="20"/>
              </w:rPr>
              <w:t>投标文件递交截止时间</w:t>
            </w:r>
          </w:p>
        </w:tc>
        <w:tc>
          <w:tcPr>
            <w:tcW w:w="5974" w:type="dxa"/>
            <w:vAlign w:val="center"/>
          </w:tcPr>
          <w:p>
            <w:pPr>
              <w:spacing w:line="312" w:lineRule="auto"/>
              <w:jc w:val="left"/>
              <w:rPr>
                <w:rFonts w:ascii="宋体" w:hAnsi="宋体" w:eastAsia="宋体" w:cs="宋体"/>
                <w:color w:val="000000"/>
                <w:szCs w:val="20"/>
              </w:rPr>
            </w:pPr>
            <w:r>
              <w:rPr>
                <w:rFonts w:hint="eastAsia" w:ascii="宋体" w:hAnsi="宋体" w:eastAsia="宋体" w:cs="宋体"/>
                <w:color w:val="000000"/>
                <w:szCs w:val="20"/>
              </w:rPr>
              <w:t>投标截止时间：</w:t>
            </w:r>
            <w:r>
              <w:rPr>
                <w:rFonts w:hint="eastAsia" w:ascii="宋体" w:hAnsi="宋体" w:eastAsia="宋体" w:cs="宋体"/>
                <w:b/>
                <w:color w:val="000000"/>
                <w:szCs w:val="20"/>
                <w:u w:val="single"/>
              </w:rPr>
              <w:t xml:space="preserve"> 2025</w:t>
            </w:r>
            <w:r>
              <w:rPr>
                <w:rFonts w:hint="eastAsia" w:ascii="宋体" w:hAnsi="宋体" w:eastAsia="宋体" w:cs="宋体"/>
                <w:b/>
                <w:color w:val="000000"/>
                <w:szCs w:val="20"/>
              </w:rPr>
              <w:t>年</w:t>
            </w:r>
            <w:r>
              <w:rPr>
                <w:rFonts w:hint="eastAsia" w:ascii="宋体" w:hAnsi="宋体" w:eastAsia="宋体" w:cs="宋体"/>
                <w:b/>
                <w:color w:val="000000"/>
                <w:szCs w:val="20"/>
                <w:u w:val="single"/>
              </w:rPr>
              <w:t xml:space="preserve">  6  </w:t>
            </w:r>
            <w:r>
              <w:rPr>
                <w:rFonts w:hint="eastAsia" w:ascii="宋体" w:hAnsi="宋体" w:eastAsia="宋体" w:cs="宋体"/>
                <w:b/>
                <w:color w:val="000000"/>
                <w:szCs w:val="20"/>
              </w:rPr>
              <w:t>月</w:t>
            </w:r>
            <w:r>
              <w:rPr>
                <w:rFonts w:hint="eastAsia" w:ascii="宋体" w:hAnsi="宋体" w:eastAsia="宋体" w:cs="宋体"/>
                <w:b/>
                <w:color w:val="000000"/>
                <w:szCs w:val="20"/>
                <w:u w:val="single"/>
              </w:rPr>
              <w:t xml:space="preserve">  20  </w:t>
            </w:r>
            <w:r>
              <w:rPr>
                <w:rFonts w:hint="eastAsia" w:ascii="宋体" w:hAnsi="宋体" w:eastAsia="宋体" w:cs="宋体"/>
                <w:b/>
                <w:color w:val="000000"/>
                <w:szCs w:val="20"/>
              </w:rPr>
              <w:t>日</w:t>
            </w:r>
            <w:r>
              <w:rPr>
                <w:rFonts w:hint="eastAsia" w:ascii="宋体" w:hAnsi="宋体" w:eastAsia="宋体" w:cs="宋体"/>
                <w:b/>
                <w:color w:val="000000"/>
                <w:szCs w:val="20"/>
                <w:u w:val="single"/>
              </w:rPr>
              <w:t xml:space="preserve">14 </w:t>
            </w:r>
            <w:r>
              <w:rPr>
                <w:rFonts w:hint="eastAsia" w:ascii="宋体" w:hAnsi="宋体" w:eastAsia="宋体" w:cs="宋体"/>
                <w:b/>
                <w:color w:val="000000"/>
                <w:szCs w:val="20"/>
              </w:rPr>
              <w:t>时</w:t>
            </w:r>
            <w:r>
              <w:rPr>
                <w:rFonts w:hint="eastAsia" w:ascii="宋体" w:hAnsi="宋体" w:eastAsia="宋体" w:cs="宋体"/>
                <w:b/>
                <w:color w:val="000000"/>
                <w:szCs w:val="20"/>
                <w:u w:val="single"/>
              </w:rPr>
              <w:t xml:space="preserve"> 30 </w:t>
            </w:r>
            <w:r>
              <w:rPr>
                <w:rFonts w:hint="eastAsia" w:ascii="宋体" w:hAnsi="宋体" w:eastAsia="宋体" w:cs="宋体"/>
                <w:b/>
                <w:color w:val="000000"/>
                <w:szCs w:val="20"/>
              </w:rPr>
              <w:t>分</w:t>
            </w:r>
          </w:p>
          <w:p>
            <w:pPr>
              <w:spacing w:line="312" w:lineRule="auto"/>
              <w:jc w:val="left"/>
              <w:rPr>
                <w:rFonts w:ascii="宋体" w:hAnsi="宋体" w:eastAsia="宋体" w:cs="宋体"/>
                <w:color w:val="000000"/>
                <w:szCs w:val="20"/>
              </w:rPr>
            </w:pPr>
            <w:r>
              <w:rPr>
                <w:rFonts w:hint="eastAsia" w:ascii="宋体" w:hAnsi="宋体" w:eastAsia="宋体" w:cs="宋体"/>
                <w:kern w:val="0"/>
                <w:szCs w:val="21"/>
              </w:rPr>
              <w:t>通过电子招投标交易平台系统上传电子投标文件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4.2.3</w:t>
            </w:r>
          </w:p>
        </w:tc>
        <w:tc>
          <w:tcPr>
            <w:tcW w:w="2181" w:type="dxa"/>
            <w:vAlign w:val="center"/>
          </w:tcPr>
          <w:p>
            <w:pPr>
              <w:spacing w:line="312" w:lineRule="auto"/>
              <w:rPr>
                <w:rFonts w:ascii="宋体" w:hAnsi="宋体" w:eastAsia="宋体" w:cs="宋体"/>
                <w:color w:val="000000"/>
                <w:szCs w:val="20"/>
              </w:rPr>
            </w:pPr>
            <w:r>
              <w:rPr>
                <w:rFonts w:hint="eastAsia" w:ascii="宋体" w:hAnsi="宋体" w:eastAsia="宋体" w:cs="宋体"/>
                <w:color w:val="000000"/>
                <w:szCs w:val="20"/>
              </w:rPr>
              <w:t>是否退还投标文件</w:t>
            </w:r>
          </w:p>
        </w:tc>
        <w:tc>
          <w:tcPr>
            <w:tcW w:w="5974" w:type="dxa"/>
            <w:vAlign w:val="center"/>
          </w:tcPr>
          <w:p>
            <w:pPr>
              <w:spacing w:line="312" w:lineRule="auto"/>
              <w:rPr>
                <w:rFonts w:ascii="宋体" w:hAnsi="宋体" w:eastAsia="宋体" w:cs="宋体"/>
                <w:color w:val="000000"/>
                <w:szCs w:val="20"/>
                <w:u w:val="single"/>
              </w:rPr>
            </w:pPr>
            <w:r>
              <w:rPr>
                <w:rFonts w:hint="eastAsia" w:ascii="宋体" w:hAnsi="宋体" w:eastAsia="宋体" w:cs="宋体"/>
                <w:color w:val="000000"/>
                <w:szCs w:val="20"/>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5.1</w:t>
            </w:r>
          </w:p>
        </w:tc>
        <w:tc>
          <w:tcPr>
            <w:tcW w:w="2181" w:type="dxa"/>
            <w:vAlign w:val="center"/>
          </w:tcPr>
          <w:p>
            <w:pPr>
              <w:spacing w:line="312" w:lineRule="auto"/>
              <w:rPr>
                <w:rFonts w:ascii="宋体" w:hAnsi="宋体" w:eastAsia="宋体" w:cs="宋体"/>
                <w:color w:val="000000"/>
                <w:szCs w:val="20"/>
              </w:rPr>
            </w:pPr>
            <w:r>
              <w:rPr>
                <w:rFonts w:hint="eastAsia" w:ascii="宋体" w:hAnsi="宋体" w:eastAsia="宋体" w:cs="宋体"/>
                <w:color w:val="000000"/>
                <w:szCs w:val="20"/>
              </w:rPr>
              <w:t>开标时间和地点</w:t>
            </w:r>
          </w:p>
        </w:tc>
        <w:tc>
          <w:tcPr>
            <w:tcW w:w="5974" w:type="dxa"/>
            <w:vAlign w:val="center"/>
          </w:tcPr>
          <w:p>
            <w:pPr>
              <w:adjustRightInd w:val="0"/>
              <w:snapToGrid w:val="0"/>
              <w:rPr>
                <w:rFonts w:ascii="宋体" w:hAnsi="宋体" w:eastAsia="宋体" w:cs="宋体"/>
                <w:szCs w:val="21"/>
              </w:rPr>
            </w:pPr>
            <w:r>
              <w:rPr>
                <w:rFonts w:hint="eastAsia" w:ascii="宋体" w:hAnsi="宋体" w:eastAsia="宋体" w:cs="宋体"/>
                <w:szCs w:val="21"/>
              </w:rPr>
              <w:t>开标时间：同投标截止时间</w:t>
            </w:r>
          </w:p>
          <w:p>
            <w:pPr>
              <w:spacing w:line="312" w:lineRule="auto"/>
              <w:jc w:val="left"/>
              <w:rPr>
                <w:rFonts w:ascii="宋体" w:hAnsi="宋体" w:eastAsia="宋体" w:cs="宋体"/>
                <w:color w:val="000000"/>
                <w:szCs w:val="20"/>
                <w:u w:val="single"/>
              </w:rPr>
            </w:pPr>
            <w:r>
              <w:rPr>
                <w:rFonts w:hint="eastAsia" w:ascii="宋体" w:hAnsi="宋体" w:eastAsia="宋体" w:cs="宋体"/>
                <w:szCs w:val="21"/>
              </w:rPr>
              <w:t xml:space="preserve">开标地点：扬州市聚力项目管理有限公司三楼开标室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8.1</w:t>
            </w:r>
          </w:p>
        </w:tc>
        <w:tc>
          <w:tcPr>
            <w:tcW w:w="2181" w:type="dxa"/>
            <w:vAlign w:val="center"/>
          </w:tcPr>
          <w:p>
            <w:pPr>
              <w:spacing w:line="312" w:lineRule="auto"/>
              <w:rPr>
                <w:rFonts w:ascii="宋体" w:hAnsi="宋体" w:eastAsia="宋体" w:cs="宋体"/>
                <w:color w:val="000000"/>
                <w:szCs w:val="20"/>
              </w:rPr>
            </w:pPr>
            <w:r>
              <w:rPr>
                <w:rFonts w:hint="eastAsia" w:ascii="宋体" w:hAnsi="宋体" w:eastAsia="宋体" w:cs="宋体"/>
                <w:color w:val="000000"/>
                <w:szCs w:val="20"/>
              </w:rPr>
              <w:t>是否授权评标委员会确定中标人</w:t>
            </w:r>
          </w:p>
        </w:tc>
        <w:tc>
          <w:tcPr>
            <w:tcW w:w="5974" w:type="dxa"/>
            <w:vAlign w:val="center"/>
          </w:tcPr>
          <w:p>
            <w:pPr>
              <w:spacing w:line="312" w:lineRule="auto"/>
              <w:rPr>
                <w:rFonts w:ascii="宋体" w:hAnsi="宋体" w:eastAsia="宋体" w:cs="宋体"/>
                <w:color w:val="000000"/>
                <w:szCs w:val="20"/>
              </w:rPr>
            </w:pPr>
            <w:bookmarkStart w:id="14" w:name="OLE_LINK13"/>
            <w:r>
              <w:rPr>
                <w:rFonts w:hint="eastAsia" w:ascii="宋体" w:hAnsi="宋体" w:eastAsia="宋体" w:cs="宋体"/>
                <w:szCs w:val="21"/>
              </w:rPr>
              <w:t>□</w:t>
            </w:r>
            <w:bookmarkEnd w:id="14"/>
            <w:r>
              <w:rPr>
                <w:rFonts w:hint="eastAsia" w:ascii="宋体" w:hAnsi="宋体" w:eastAsia="宋体" w:cs="宋体"/>
                <w:color w:val="000000"/>
                <w:szCs w:val="20"/>
              </w:rPr>
              <w:t>是</w:t>
            </w:r>
          </w:p>
          <w:p>
            <w:pPr>
              <w:spacing w:line="312" w:lineRule="auto"/>
              <w:rPr>
                <w:rFonts w:ascii="宋体" w:hAnsi="宋体" w:eastAsia="宋体" w:cs="宋体"/>
                <w:color w:val="000000"/>
                <w:szCs w:val="20"/>
                <w:u w:val="single"/>
              </w:rPr>
            </w:pPr>
            <w:r>
              <w:rPr>
                <w:rFonts w:hint="eastAsia" w:ascii="宋体" w:hAnsi="宋体" w:eastAsia="宋体" w:cs="宋体"/>
                <w:color w:val="000000"/>
                <w:kern w:val="0"/>
                <w:szCs w:val="20"/>
              </w:rPr>
              <w:sym w:font="Wingdings 2" w:char="0052"/>
            </w:r>
            <w:r>
              <w:rPr>
                <w:rFonts w:hint="eastAsia" w:ascii="宋体" w:hAnsi="宋体" w:eastAsia="宋体" w:cs="宋体"/>
                <w:color w:val="000000"/>
                <w:kern w:val="0"/>
                <w:szCs w:val="20"/>
              </w:rPr>
              <w:t xml:space="preserve"> </w:t>
            </w:r>
            <w:r>
              <w:rPr>
                <w:rFonts w:hint="eastAsia" w:ascii="宋体" w:hAnsi="宋体" w:eastAsia="宋体" w:cs="宋体"/>
                <w:color w:val="000000"/>
                <w:szCs w:val="20"/>
              </w:rPr>
              <w:t>否，推荐3名中标候选人名单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8.3</w:t>
            </w:r>
          </w:p>
        </w:tc>
        <w:tc>
          <w:tcPr>
            <w:tcW w:w="2181" w:type="dxa"/>
            <w:vAlign w:val="center"/>
          </w:tcPr>
          <w:p>
            <w:pPr>
              <w:spacing w:line="312" w:lineRule="auto"/>
              <w:ind w:firstLine="210" w:firstLineChars="100"/>
              <w:jc w:val="left"/>
              <w:rPr>
                <w:rFonts w:ascii="宋体" w:hAnsi="宋体" w:eastAsia="宋体" w:cs="宋体"/>
                <w:color w:val="000000"/>
                <w:szCs w:val="20"/>
              </w:rPr>
            </w:pPr>
            <w:r>
              <w:rPr>
                <w:rFonts w:hint="eastAsia" w:ascii="宋体" w:hAnsi="宋体" w:eastAsia="宋体" w:cs="宋体"/>
                <w:szCs w:val="21"/>
              </w:rPr>
              <w:t>履约保证金</w:t>
            </w:r>
          </w:p>
        </w:tc>
        <w:tc>
          <w:tcPr>
            <w:tcW w:w="5974" w:type="dxa"/>
            <w:vAlign w:val="center"/>
          </w:tcPr>
          <w:p>
            <w:pPr>
              <w:adjustRightInd w:val="0"/>
              <w:snapToGrid w:val="0"/>
              <w:spacing w:line="312" w:lineRule="auto"/>
              <w:rPr>
                <w:rFonts w:ascii="宋体" w:hAnsi="宋体" w:eastAsia="宋体" w:cs="宋体"/>
                <w:szCs w:val="21"/>
              </w:rPr>
            </w:pPr>
            <w:r>
              <w:rPr>
                <w:rFonts w:hint="eastAsia" w:ascii="宋体" w:hAnsi="宋体" w:eastAsia="宋体" w:cs="宋体"/>
                <w:color w:val="000000"/>
                <w:kern w:val="0"/>
                <w:szCs w:val="20"/>
              </w:rPr>
              <w:sym w:font="Wingdings 2" w:char="0052"/>
            </w:r>
            <w:r>
              <w:rPr>
                <w:rFonts w:hint="eastAsia" w:ascii="宋体" w:hAnsi="宋体" w:eastAsia="宋体" w:cs="宋体"/>
                <w:szCs w:val="21"/>
              </w:rPr>
              <w:t>是  履约保证金的形式：</w:t>
            </w:r>
            <w:r>
              <w:rPr>
                <w:rFonts w:hint="eastAsia" w:ascii="宋体" w:hAnsi="宋体" w:eastAsia="宋体" w:cs="宋体"/>
                <w:szCs w:val="21"/>
                <w:u w:val="single"/>
              </w:rPr>
              <w:t>银行保函或转账</w:t>
            </w:r>
          </w:p>
          <w:p>
            <w:pPr>
              <w:adjustRightInd w:val="0"/>
              <w:snapToGrid w:val="0"/>
              <w:spacing w:line="312" w:lineRule="auto"/>
              <w:rPr>
                <w:rFonts w:ascii="宋体" w:hAnsi="宋体" w:eastAsia="宋体" w:cs="宋体"/>
                <w:szCs w:val="21"/>
              </w:rPr>
            </w:pPr>
            <w:r>
              <w:rPr>
                <w:rFonts w:hint="eastAsia" w:ascii="宋体" w:hAnsi="宋体" w:eastAsia="宋体" w:cs="宋体"/>
                <w:szCs w:val="21"/>
              </w:rPr>
              <w:t>履约保证金的金额：</w:t>
            </w:r>
            <w:r>
              <w:rPr>
                <w:rFonts w:hint="eastAsia" w:ascii="宋体" w:hAnsi="宋体" w:eastAsia="宋体" w:cs="宋体"/>
                <w:szCs w:val="21"/>
                <w:u w:val="single"/>
              </w:rPr>
              <w:t>按中标价的10%</w:t>
            </w:r>
            <w:r>
              <w:rPr>
                <w:rFonts w:hint="eastAsia" w:ascii="宋体" w:hAnsi="宋体" w:eastAsia="宋体" w:cs="宋体"/>
                <w:szCs w:val="21"/>
              </w:rPr>
              <w:t>,投标人在收到中标通知书后，须在</w:t>
            </w:r>
            <w:r>
              <w:rPr>
                <w:rFonts w:hint="eastAsia" w:ascii="宋体" w:hAnsi="宋体" w:eastAsia="宋体" w:cs="宋体"/>
                <w:szCs w:val="21"/>
                <w:u w:val="single"/>
              </w:rPr>
              <w:t>7</w:t>
            </w:r>
            <w:r>
              <w:rPr>
                <w:rFonts w:hint="eastAsia" w:ascii="宋体" w:hAnsi="宋体" w:eastAsia="宋体" w:cs="宋体"/>
                <w:szCs w:val="21"/>
              </w:rPr>
              <w:t>日内向招标人足额提交履约保证金，否则招标人可以取消其中标资格。</w:t>
            </w:r>
          </w:p>
          <w:p>
            <w:pPr>
              <w:spacing w:after="120"/>
              <w:rPr>
                <w:rFonts w:ascii="Times New Roman" w:hAnsi="Times New Roman" w:eastAsia="宋体" w:cs="Times New Roman"/>
                <w:szCs w:val="20"/>
              </w:rPr>
            </w:pPr>
            <w:r>
              <w:rPr>
                <w:rFonts w:hint="eastAsia" w:ascii="宋体" w:hAnsi="宋体" w:eastAsia="宋体" w:cs="宋体"/>
                <w:szCs w:val="21"/>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10</w:t>
            </w:r>
          </w:p>
        </w:tc>
        <w:tc>
          <w:tcPr>
            <w:tcW w:w="8155" w:type="dxa"/>
            <w:gridSpan w:val="2"/>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需要补充的其他内容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10.1</w:t>
            </w:r>
          </w:p>
        </w:tc>
        <w:tc>
          <w:tcPr>
            <w:tcW w:w="2181" w:type="dxa"/>
            <w:vAlign w:val="center"/>
          </w:tcPr>
          <w:p>
            <w:pPr>
              <w:snapToGrid w:val="0"/>
              <w:spacing w:line="312" w:lineRule="auto"/>
              <w:jc w:val="center"/>
              <w:rPr>
                <w:rFonts w:ascii="宋体" w:hAnsi="宋体" w:eastAsia="宋体" w:cs="宋体"/>
                <w:snapToGrid w:val="0"/>
                <w:szCs w:val="21"/>
              </w:rPr>
            </w:pPr>
            <w:r>
              <w:rPr>
                <w:rFonts w:hint="eastAsia" w:ascii="宋体" w:hAnsi="宋体" w:eastAsia="宋体" w:cs="宋体"/>
                <w:snapToGrid w:val="0"/>
                <w:szCs w:val="21"/>
              </w:rPr>
              <w:t>参加开标会的</w:t>
            </w:r>
          </w:p>
          <w:p>
            <w:pPr>
              <w:snapToGrid w:val="0"/>
              <w:spacing w:line="312" w:lineRule="auto"/>
              <w:jc w:val="center"/>
              <w:rPr>
                <w:rFonts w:ascii="宋体" w:hAnsi="宋体" w:eastAsia="宋体" w:cs="宋体"/>
                <w:snapToGrid w:val="0"/>
                <w:szCs w:val="21"/>
              </w:rPr>
            </w:pPr>
            <w:r>
              <w:rPr>
                <w:rFonts w:hint="eastAsia" w:ascii="宋体" w:hAnsi="宋体" w:eastAsia="宋体" w:cs="宋体"/>
                <w:snapToGrid w:val="0"/>
                <w:szCs w:val="21"/>
              </w:rPr>
              <w:t>投标人代表</w:t>
            </w:r>
          </w:p>
        </w:tc>
        <w:tc>
          <w:tcPr>
            <w:tcW w:w="5974"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sym w:font="Wingdings 2" w:char="0052"/>
            </w:r>
            <w:r>
              <w:rPr>
                <w:rFonts w:hint="eastAsia" w:ascii="宋体" w:hAnsi="宋体" w:eastAsia="宋体" w:cs="宋体"/>
                <w:kern w:val="0"/>
                <w:szCs w:val="21"/>
              </w:rPr>
              <w:t>本项目采用不见面开标：</w:t>
            </w:r>
            <w:r>
              <w:rPr>
                <w:rFonts w:ascii="Times New Roman" w:hAnsi="Times New Roman" w:eastAsia="宋体" w:cs="Times New Roman"/>
                <w:szCs w:val="20"/>
              </w:rPr>
              <w:t>投标单位不派人员参加本</w:t>
            </w:r>
            <w:r>
              <w:rPr>
                <w:rFonts w:hint="eastAsia" w:ascii="Times New Roman" w:hAnsi="Times New Roman" w:eastAsia="宋体" w:cs="Times New Roman"/>
                <w:szCs w:val="20"/>
              </w:rPr>
              <w:t>项目</w:t>
            </w:r>
            <w:r>
              <w:rPr>
                <w:rFonts w:ascii="Times New Roman" w:hAnsi="Times New Roman" w:eastAsia="宋体" w:cs="Times New Roman"/>
                <w:szCs w:val="20"/>
              </w:rPr>
              <w:t>开标活动，应当在开评标系统完成公布投标人名单时间后，在招标文件规定的时间内完成投标文件解密工作。</w:t>
            </w:r>
            <w:r>
              <w:rPr>
                <w:rFonts w:hint="eastAsia" w:ascii="宋体" w:hAnsi="宋体" w:eastAsia="宋体" w:cs="宋体"/>
                <w:kern w:val="0"/>
                <w:szCs w:val="21"/>
              </w:rPr>
              <w:t xml:space="preserve">未在规定时间内解密投标文件的，将被视为放弃投标。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10.2</w:t>
            </w:r>
          </w:p>
        </w:tc>
        <w:tc>
          <w:tcPr>
            <w:tcW w:w="2181" w:type="dxa"/>
            <w:vAlign w:val="center"/>
          </w:tcPr>
          <w:p>
            <w:pPr>
              <w:adjustRightInd w:val="0"/>
              <w:snapToGrid w:val="0"/>
              <w:spacing w:line="312" w:lineRule="auto"/>
              <w:jc w:val="center"/>
              <w:rPr>
                <w:rFonts w:ascii="宋体" w:hAnsi="宋体" w:eastAsia="宋体" w:cs="宋体"/>
                <w:szCs w:val="21"/>
              </w:rPr>
            </w:pPr>
            <w:r>
              <w:rPr>
                <w:rFonts w:hint="eastAsia" w:ascii="宋体" w:hAnsi="宋体" w:eastAsia="宋体" w:cs="宋体"/>
                <w:szCs w:val="21"/>
              </w:rPr>
              <w:t>解密时间</w:t>
            </w:r>
          </w:p>
        </w:tc>
        <w:tc>
          <w:tcPr>
            <w:tcW w:w="5974" w:type="dxa"/>
            <w:vAlign w:val="center"/>
          </w:tcPr>
          <w:p>
            <w:pPr>
              <w:snapToGrid w:val="0"/>
              <w:spacing w:line="312" w:lineRule="auto"/>
              <w:jc w:val="left"/>
              <w:rPr>
                <w:rFonts w:ascii="宋体" w:hAnsi="宋体" w:eastAsia="宋体" w:cs="宋体"/>
                <w:szCs w:val="21"/>
              </w:rPr>
            </w:pPr>
            <w:r>
              <w:rPr>
                <w:rFonts w:hint="eastAsia" w:ascii="宋体" w:hAnsi="宋体" w:eastAsia="宋体" w:cs="宋体"/>
                <w:color w:val="000000"/>
                <w:szCs w:val="21"/>
              </w:rPr>
              <w:t>远程解密的：</w:t>
            </w:r>
            <w:r>
              <w:rPr>
                <w:rFonts w:hint="eastAsia" w:ascii="Times New Roman" w:hAnsi="Times New Roman" w:eastAsia="宋体" w:cs="Times New Roman"/>
                <w:color w:val="000000"/>
                <w:szCs w:val="21"/>
                <w:u w:val="single"/>
              </w:rPr>
              <w:t>以现场系统完成公布投标人名单时间起，</w:t>
            </w:r>
            <w:r>
              <w:rPr>
                <w:rFonts w:ascii="Times New Roman" w:hAnsi="Times New Roman" w:eastAsia="宋体" w:cs="Times New Roman"/>
                <w:color w:val="000000"/>
                <w:szCs w:val="21"/>
                <w:u w:val="single"/>
              </w:rPr>
              <w:t xml:space="preserve"> 30</w:t>
            </w:r>
            <w:r>
              <w:rPr>
                <w:rFonts w:hint="eastAsia" w:ascii="Times New Roman" w:hAnsi="Times New Roman" w:eastAsia="宋体" w:cs="Times New Roman"/>
                <w:color w:val="000000"/>
                <w:szCs w:val="21"/>
                <w:u w:val="single"/>
              </w:rPr>
              <w:t>分钟以内需成功解密。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10.3</w:t>
            </w:r>
          </w:p>
        </w:tc>
        <w:tc>
          <w:tcPr>
            <w:tcW w:w="2181" w:type="dxa"/>
            <w:vAlign w:val="center"/>
          </w:tcPr>
          <w:p>
            <w:pPr>
              <w:autoSpaceDE w:val="0"/>
              <w:autoSpaceDN w:val="0"/>
              <w:adjustRightInd w:val="0"/>
              <w:spacing w:line="312" w:lineRule="auto"/>
              <w:jc w:val="center"/>
              <w:rPr>
                <w:rFonts w:ascii="宋体" w:hAnsi="宋体" w:eastAsia="宋体" w:cs="宋体"/>
                <w:kern w:val="0"/>
                <w:sz w:val="24"/>
                <w:szCs w:val="21"/>
              </w:rPr>
            </w:pPr>
            <w:r>
              <w:rPr>
                <w:rFonts w:hint="eastAsia" w:ascii="宋体" w:hAnsi="宋体" w:eastAsia="宋体" w:cs="宋体"/>
                <w:kern w:val="0"/>
                <w:szCs w:val="21"/>
              </w:rPr>
              <w:t>开标程序</w:t>
            </w:r>
          </w:p>
        </w:tc>
        <w:tc>
          <w:tcPr>
            <w:tcW w:w="5974" w:type="dxa"/>
          </w:tcPr>
          <w:p>
            <w:pPr>
              <w:spacing w:line="312" w:lineRule="auto"/>
              <w:rPr>
                <w:rFonts w:ascii="Times New Roman" w:hAnsi="Times New Roman" w:eastAsia="宋体" w:cs="Times New Roman"/>
                <w:szCs w:val="20"/>
              </w:rPr>
            </w:pPr>
            <w:r>
              <w:rPr>
                <w:rFonts w:hint="eastAsia" w:ascii="Times New Roman" w:hAnsi="Times New Roman" w:eastAsia="宋体" w:cs="Times New Roman"/>
                <w:szCs w:val="20"/>
              </w:rPr>
              <w:t>（1）宣布开标纪律；</w:t>
            </w:r>
          </w:p>
          <w:p>
            <w:pPr>
              <w:spacing w:line="312" w:lineRule="auto"/>
              <w:rPr>
                <w:rFonts w:ascii="Times New Roman" w:hAnsi="Times New Roman" w:eastAsia="宋体" w:cs="Times New Roman"/>
                <w:szCs w:val="20"/>
              </w:rPr>
            </w:pPr>
            <w:r>
              <w:rPr>
                <w:rFonts w:hint="eastAsia" w:ascii="Times New Roman" w:hAnsi="Times New Roman" w:eastAsia="宋体" w:cs="Times New Roman"/>
                <w:szCs w:val="20"/>
              </w:rPr>
              <w:t>（2）通过电子交易系统公布在投标截止时间前递交投标文件的投标人名称；</w:t>
            </w:r>
          </w:p>
          <w:p>
            <w:pPr>
              <w:spacing w:line="312" w:lineRule="auto"/>
              <w:rPr>
                <w:rFonts w:ascii="Times New Roman" w:hAnsi="Times New Roman" w:eastAsia="宋体" w:cs="Times New Roman"/>
                <w:szCs w:val="20"/>
              </w:rPr>
            </w:pPr>
            <w:r>
              <w:rPr>
                <w:rFonts w:hint="eastAsia" w:ascii="Times New Roman" w:hAnsi="Times New Roman" w:eastAsia="宋体" w:cs="Times New Roman"/>
                <w:szCs w:val="20"/>
              </w:rPr>
              <w:t>（3）宣布开标人、唱标人、记录人、监标人等有关人员姓名；</w:t>
            </w:r>
          </w:p>
          <w:p>
            <w:pPr>
              <w:spacing w:line="312" w:lineRule="auto"/>
              <w:rPr>
                <w:rFonts w:ascii="Times New Roman" w:hAnsi="Times New Roman" w:eastAsia="宋体" w:cs="Times New Roman"/>
                <w:szCs w:val="20"/>
              </w:rPr>
            </w:pPr>
            <w:r>
              <w:rPr>
                <w:rFonts w:hint="eastAsia" w:ascii="Times New Roman" w:hAnsi="Times New Roman" w:eastAsia="宋体" w:cs="Times New Roman"/>
                <w:szCs w:val="20"/>
              </w:rPr>
              <w:t>（4）如需抽取相应数值进行基准价计算的，按照招标文件的规定当众随机抽取（如有）；</w:t>
            </w:r>
          </w:p>
          <w:p>
            <w:pPr>
              <w:spacing w:line="312" w:lineRule="auto"/>
              <w:rPr>
                <w:rFonts w:ascii="Times New Roman" w:hAnsi="Times New Roman" w:eastAsia="宋体" w:cs="Times New Roman"/>
                <w:szCs w:val="20"/>
              </w:rPr>
            </w:pPr>
            <w:r>
              <w:rPr>
                <w:rFonts w:hint="eastAsia" w:ascii="Times New Roman" w:hAnsi="Times New Roman" w:eastAsia="宋体" w:cs="Times New Roman"/>
                <w:szCs w:val="20"/>
              </w:rPr>
              <w:t>（5）通过电子交易系统现场开标，当众将电子文件进行数据导入、解密，公布投标人名称、投标保证金递交情况、投标报价、质量目标（如有）、供货期（如有）及其他内容，并予以记录；</w:t>
            </w:r>
          </w:p>
          <w:p>
            <w:pPr>
              <w:spacing w:line="312" w:lineRule="auto"/>
              <w:rPr>
                <w:rFonts w:ascii="Times New Roman" w:hAnsi="Times New Roman" w:eastAsia="宋体" w:cs="Times New Roman"/>
                <w:szCs w:val="20"/>
              </w:rPr>
            </w:pPr>
            <w:r>
              <w:rPr>
                <w:rFonts w:hint="eastAsia" w:ascii="Times New Roman" w:hAnsi="Times New Roman" w:eastAsia="宋体" w:cs="Times New Roman"/>
                <w:szCs w:val="20"/>
              </w:rPr>
              <w:t>（6）招标人代表、监标人、记录人等有关人员在开标记录上签字确认；</w:t>
            </w:r>
          </w:p>
          <w:p>
            <w:pPr>
              <w:spacing w:line="312" w:lineRule="auto"/>
              <w:rPr>
                <w:rFonts w:ascii="宋体" w:hAnsi="宋体" w:eastAsia="宋体" w:cs="宋体"/>
                <w:szCs w:val="21"/>
              </w:rPr>
            </w:pPr>
            <w:r>
              <w:rPr>
                <w:rFonts w:hint="eastAsia" w:ascii="Times New Roman" w:hAnsi="Times New Roman" w:eastAsia="宋体" w:cs="Times New Roman"/>
                <w:szCs w:val="20"/>
              </w:rPr>
              <w:t>（7）开标会议结束。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10.4</w:t>
            </w:r>
          </w:p>
        </w:tc>
        <w:tc>
          <w:tcPr>
            <w:tcW w:w="2181" w:type="dxa"/>
            <w:vAlign w:val="center"/>
          </w:tcPr>
          <w:p>
            <w:pPr>
              <w:autoSpaceDE w:val="0"/>
              <w:autoSpaceDN w:val="0"/>
              <w:adjustRightInd w:val="0"/>
              <w:spacing w:line="312" w:lineRule="auto"/>
              <w:jc w:val="center"/>
              <w:rPr>
                <w:rFonts w:ascii="宋体" w:hAnsi="宋体" w:eastAsia="宋体" w:cs="宋体"/>
                <w:kern w:val="0"/>
                <w:szCs w:val="21"/>
              </w:rPr>
            </w:pPr>
            <w:r>
              <w:rPr>
                <w:rFonts w:hint="eastAsia" w:ascii="宋体" w:hAnsi="宋体" w:eastAsia="宋体" w:cs="宋体"/>
                <w:kern w:val="0"/>
                <w:szCs w:val="21"/>
              </w:rPr>
              <w:t>付款方式</w:t>
            </w:r>
          </w:p>
        </w:tc>
        <w:tc>
          <w:tcPr>
            <w:tcW w:w="5974" w:type="dxa"/>
          </w:tcPr>
          <w:p>
            <w:pPr>
              <w:spacing w:line="312" w:lineRule="auto"/>
              <w:rPr>
                <w:rFonts w:ascii="Times New Roman" w:hAnsi="Times New Roman" w:eastAsia="宋体" w:cs="Times New Roman"/>
                <w:b/>
                <w:szCs w:val="20"/>
              </w:rPr>
            </w:pPr>
            <w:r>
              <w:rPr>
                <w:rFonts w:hint="eastAsia" w:ascii="Times New Roman" w:hAnsi="Times New Roman" w:eastAsia="宋体" w:cs="Times New Roman"/>
                <w:szCs w:val="20"/>
              </w:rPr>
              <w:t>（</w:t>
            </w:r>
            <w:r>
              <w:rPr>
                <w:rFonts w:hint="eastAsia" w:ascii="Times New Roman" w:hAnsi="Times New Roman" w:eastAsia="宋体" w:cs="Times New Roman"/>
                <w:b/>
                <w:szCs w:val="20"/>
              </w:rPr>
              <w:t>1）</w:t>
            </w:r>
            <w:r>
              <w:rPr>
                <w:rFonts w:hint="eastAsia" w:ascii="Times New Roman" w:hAnsi="Times New Roman" w:eastAsia="宋体" w:cs="Times New Roman"/>
                <w:szCs w:val="20"/>
              </w:rPr>
              <w:t>供货安装结束且消防验收合格后付结算价款的80%，满一年付结算价款10%，剩余10%质保期满后无质量问题一次性付清（不计息）</w:t>
            </w:r>
          </w:p>
          <w:p>
            <w:pPr>
              <w:spacing w:after="120"/>
              <w:rPr>
                <w:rFonts w:ascii="宋体" w:hAnsi="宋体" w:eastAsia="宋体" w:cs="宋体"/>
                <w:b/>
                <w:szCs w:val="21"/>
              </w:rPr>
            </w:pPr>
            <w:r>
              <w:rPr>
                <w:rFonts w:hint="eastAsia" w:ascii="Times New Roman" w:hAnsi="Times New Roman" w:eastAsia="宋体" w:cs="Times New Roman"/>
                <w:b/>
                <w:szCs w:val="20"/>
              </w:rPr>
              <w:t>（2）货款结算</w:t>
            </w:r>
            <w:r>
              <w:rPr>
                <w:rFonts w:hint="eastAsia" w:ascii="宋体" w:hAnsi="宋体" w:eastAsia="宋体" w:cs="宋体"/>
                <w:b/>
                <w:szCs w:val="21"/>
              </w:rPr>
              <w:t>价=实际供货的数量×中标综合单价-税率差额</w:t>
            </w:r>
          </w:p>
          <w:p>
            <w:pPr>
              <w:spacing w:after="120"/>
              <w:rPr>
                <w:rFonts w:ascii="Times New Roman" w:hAnsi="Times New Roman" w:eastAsia="宋体" w:cs="Times New Roman"/>
                <w:szCs w:val="20"/>
              </w:rPr>
            </w:pPr>
            <w:r>
              <w:rPr>
                <w:rFonts w:hint="eastAsia" w:ascii="宋体" w:hAnsi="宋体" w:eastAsia="宋体" w:cs="宋体"/>
                <w:b/>
                <w:szCs w:val="21"/>
              </w:rPr>
              <w:t>（3）本项目招标人提供的最高投标限价按13%税费计取，投标人中标后需补齐税差并在投标报价中综合考虑；如中标单位开具的是3%税率，需要按实际供货的货款扣除9.8%的税差后为最终结算价；如中标单位开具的是6%税率，需要按实际供货的货款扣除6.8%的税差后为最终结算价；如中标单位开具的是9%税率，需要按实际供货的货款扣除3.8%的税差后为最终结算价</w:t>
            </w:r>
            <w:r>
              <w:rPr>
                <w:rFonts w:hint="eastAsia" w:ascii="宋体" w:hAnsi="宋体" w:eastAsia="宋体" w:cs="宋体"/>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10.5</w:t>
            </w:r>
          </w:p>
        </w:tc>
        <w:tc>
          <w:tcPr>
            <w:tcW w:w="2181" w:type="dxa"/>
            <w:vAlign w:val="center"/>
          </w:tcPr>
          <w:p>
            <w:pPr>
              <w:adjustRightInd w:val="0"/>
              <w:snapToGrid w:val="0"/>
              <w:ind w:firstLine="420" w:firstLineChars="200"/>
              <w:rPr>
                <w:rFonts w:ascii="宋体" w:hAnsi="宋体" w:eastAsia="宋体" w:cs="宋体"/>
                <w:szCs w:val="21"/>
              </w:rPr>
            </w:pPr>
            <w:r>
              <w:rPr>
                <w:rFonts w:hint="eastAsia" w:ascii="宋体" w:hAnsi="宋体" w:eastAsia="宋体" w:cs="宋体"/>
                <w:szCs w:val="21"/>
              </w:rPr>
              <w:t>投标电子化要求</w:t>
            </w:r>
          </w:p>
        </w:tc>
        <w:tc>
          <w:tcPr>
            <w:tcW w:w="5974" w:type="dxa"/>
            <w:vAlign w:val="center"/>
          </w:tcPr>
          <w:p>
            <w:pPr>
              <w:adjustRightInd w:val="0"/>
              <w:snapToGrid w:val="0"/>
              <w:rPr>
                <w:rFonts w:ascii="宋体" w:hAnsi="宋体" w:eastAsia="宋体" w:cs="宋体"/>
                <w:szCs w:val="21"/>
              </w:rPr>
            </w:pPr>
            <w:r>
              <w:rPr>
                <w:rFonts w:hint="eastAsia" w:ascii="宋体" w:hAnsi="宋体" w:eastAsia="宋体" w:cs="宋体"/>
                <w:szCs w:val="21"/>
              </w:rPr>
              <w:t>1、购买招标文件前，投标单位应登录“扬州市公共资源交易中心仪征分中心”网站：http://ggzyjyzx.yangzhou.gov.cn/yzfzx/，点击“限额以下公共资源交易平台”链接，点击“投标人”登录模块进入“新点电子交易平台”，自行维护本单位的相关资料，并完善好单位数据库。（或者登录“仪征市限额以下公共资源交易平台”网站：</w:t>
            </w:r>
            <w:r>
              <w:fldChar w:fldCharType="begin"/>
            </w:r>
            <w:r>
              <w:instrText xml:space="preserve"> HYPERLINK "http://yizheng.etrading.cn/" </w:instrText>
            </w:r>
            <w:r>
              <w:fldChar w:fldCharType="separate"/>
            </w:r>
            <w:r>
              <w:rPr>
                <w:rFonts w:ascii="宋体" w:hAnsi="宋体" w:eastAsia="宋体" w:cs="宋体"/>
                <w:szCs w:val="21"/>
              </w:rPr>
              <w:t>http://yizheng.etrading.cn/</w:t>
            </w:r>
            <w:r>
              <w:rPr>
                <w:rFonts w:ascii="宋体" w:hAnsi="宋体" w:eastAsia="宋体" w:cs="宋体"/>
                <w:szCs w:val="21"/>
              </w:rPr>
              <w:fldChar w:fldCharType="end"/>
            </w:r>
            <w:r>
              <w:rPr>
                <w:rFonts w:hint="eastAsia" w:ascii="宋体" w:hAnsi="宋体" w:eastAsia="宋体" w:cs="宋体"/>
                <w:szCs w:val="21"/>
              </w:rPr>
              <w:t>，点击“会员登录”模块进入“新点电子交易平台”，自行维护本单位的相关资料，并完善好单位数据库）。如因信息缺失、失效、虚假等原因产生不良后果，责任由投标单位自行承担。未在该平台注册入库的单位可自行注册维护相关信息，注册时用户名请使用单位全称。</w:t>
            </w:r>
            <w:r>
              <w:rPr>
                <w:rFonts w:ascii="宋体" w:hAnsi="宋体" w:eastAsia="宋体" w:cs="宋体"/>
                <w:szCs w:val="21"/>
              </w:rPr>
              <w:t>注册指南可到仪征市限额以下公共资源交易平台</w:t>
            </w:r>
            <w:r>
              <w:rPr>
                <w:rFonts w:ascii="宋体" w:hAnsi="宋体" w:eastAsia="宋体" w:cs="宋体"/>
                <w:szCs w:val="21"/>
              </w:rPr>
              <w:drawing>
                <wp:inline distT="0" distB="0" distL="0" distR="0">
                  <wp:extent cx="190500" cy="142875"/>
                  <wp:effectExtent l="0" t="0" r="0" b="9525"/>
                  <wp:docPr id="7" name="图片 7" descr="说明: %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说明: %W@GJ$ACOF(TYDYECOKVDY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ln>
                            <a:noFill/>
                          </a:ln>
                        </pic:spPr>
                      </pic:pic>
                    </a:graphicData>
                  </a:graphic>
                </wp:inline>
              </w:drawing>
            </w:r>
            <w:r>
              <w:rPr>
                <w:rFonts w:ascii="宋体" w:hAnsi="宋体" w:eastAsia="宋体" w:cs="宋体"/>
                <w:szCs w:val="21"/>
              </w:rPr>
              <w:t>http://yizheng.etrading.cn/，点击“会员登录”端口-“用户登录”-“注册指南”自行下载；</w:t>
            </w:r>
          </w:p>
          <w:p>
            <w:pPr>
              <w:adjustRightInd w:val="0"/>
              <w:snapToGrid w:val="0"/>
              <w:rPr>
                <w:rFonts w:ascii="宋体" w:hAnsi="宋体" w:eastAsia="宋体" w:cs="宋体"/>
                <w:szCs w:val="21"/>
              </w:rPr>
            </w:pPr>
            <w:r>
              <w:rPr>
                <w:rFonts w:hint="eastAsia" w:ascii="宋体" w:hAnsi="宋体" w:eastAsia="宋体" w:cs="宋体"/>
                <w:szCs w:val="21"/>
              </w:rPr>
              <w:t>2、购买招标文件前，投标单位必须办理CA证书和电子签章，使用CA证书登录“新点电子交易平台”对本单位数据库进行维护，并通过“仪征市限额以下公共资源交易系统”完成招标文件下载、网上提问，答疑澄清、招标控制价文件下载，电子标书制作、上传，网上投标等各环节电子化招标投标的操作。“仪征市限额以下公共资源交易平台”投标人操作指南可到http://yizheng.etrading.cn/的【办事指南】的“办事服务”里下载；（办理CA证书和电子签章，联系电话：0514-82087129，地址：扬州市文昌东路9号广陵新城市民中心1号楼5楼受理台（5楼电梯附近））</w:t>
            </w:r>
          </w:p>
          <w:p>
            <w:pPr>
              <w:adjustRightInd w:val="0"/>
              <w:snapToGrid w:val="0"/>
              <w:rPr>
                <w:rFonts w:ascii="宋体" w:hAnsi="宋体" w:eastAsia="宋体" w:cs="宋体"/>
                <w:szCs w:val="21"/>
              </w:rPr>
            </w:pPr>
            <w:r>
              <w:rPr>
                <w:rFonts w:hint="eastAsia" w:ascii="宋体" w:hAnsi="宋体" w:eastAsia="宋体" w:cs="宋体"/>
                <w:szCs w:val="21"/>
              </w:rPr>
              <w:t>3、投标人在投标截止时间前，应随时查阅“仪征市限额以下公共资源交易平台”</w:t>
            </w:r>
            <w:r>
              <w:rPr>
                <w:rFonts w:ascii="宋体" w:hAnsi="宋体" w:eastAsia="宋体" w:cs="宋体"/>
                <w:szCs w:val="21"/>
              </w:rPr>
              <w:t xml:space="preserve"> http://yizheng.etrading.cn/</w:t>
            </w:r>
            <w:r>
              <w:rPr>
                <w:rFonts w:hint="eastAsia" w:ascii="宋体" w:hAnsi="宋体" w:eastAsia="宋体" w:cs="宋体"/>
                <w:szCs w:val="21"/>
              </w:rPr>
              <w:t>中“澄清/变更公告”模块和“电子化交易系统”中“答疑澄清文件领取”模块公布的有关该工程的澄清、修改（答疑、补遗文件）、招标控制价（如有）等内容。投标人查阅如有遗漏，或投标人因自身原因未能及时掌握上述网上公示信息，或投标人由于对资格预审文件或招标文件的任何推论和误解以及招标人对有关问题的口头解释所造成的后果，其风险应由投标人自行承担，由此造成投标损失由投标人自行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10.6</w:t>
            </w:r>
          </w:p>
        </w:tc>
        <w:tc>
          <w:tcPr>
            <w:tcW w:w="2181" w:type="dxa"/>
            <w:vAlign w:val="center"/>
          </w:tcPr>
          <w:p>
            <w:pPr>
              <w:adjustRightInd w:val="0"/>
              <w:snapToGrid w:val="0"/>
              <w:ind w:firstLine="420" w:firstLineChars="200"/>
              <w:rPr>
                <w:rFonts w:ascii="宋体" w:hAnsi="宋体" w:eastAsia="宋体" w:cs="宋体"/>
                <w:szCs w:val="21"/>
              </w:rPr>
            </w:pPr>
            <w:r>
              <w:rPr>
                <w:rFonts w:hint="eastAsia" w:ascii="宋体" w:hAnsi="宋体" w:eastAsia="宋体" w:cs="Times New Roman"/>
                <w:snapToGrid w:val="0"/>
                <w:szCs w:val="21"/>
              </w:rPr>
              <w:t>不见面开标</w:t>
            </w:r>
          </w:p>
        </w:tc>
        <w:tc>
          <w:tcPr>
            <w:tcW w:w="5974" w:type="dxa"/>
            <w:vAlign w:val="center"/>
          </w:tcPr>
          <w:p>
            <w:pPr>
              <w:adjustRightInd w:val="0"/>
              <w:snapToGrid w:val="0"/>
              <w:rPr>
                <w:rFonts w:ascii="宋体" w:hAnsi="宋体" w:eastAsia="宋体" w:cs="宋体"/>
                <w:szCs w:val="21"/>
              </w:rPr>
            </w:pPr>
            <w:r>
              <w:rPr>
                <w:rFonts w:hint="eastAsia" w:ascii="宋体" w:hAnsi="宋体" w:eastAsia="宋体" w:cs="宋体"/>
                <w:szCs w:val="21"/>
              </w:rPr>
              <w:t>本工程采用不见面开标：投标人无需到达开标现场，直接使用CA数字证书登录不见面开标大厅（http://js.etrading.cn/EpointBidOpening/bidopeninghallaction/hall/login）参加开标活动，无需签到，只需在开评标系统完成公布投标人名单时间后，在招标文件规定的时间内完成投标文件解密工作。未在规定时间内解密投标文件的，将被视为放弃投标。</w:t>
            </w:r>
          </w:p>
          <w:p>
            <w:pPr>
              <w:adjustRightInd w:val="0"/>
              <w:snapToGrid w:val="0"/>
              <w:rPr>
                <w:rFonts w:ascii="宋体" w:hAnsi="宋体" w:eastAsia="宋体" w:cs="宋体"/>
                <w:szCs w:val="21"/>
              </w:rPr>
            </w:pPr>
            <w:r>
              <w:rPr>
                <w:rFonts w:hint="eastAsia" w:ascii="宋体" w:hAnsi="宋体" w:eastAsia="宋体" w:cs="宋体"/>
                <w:szCs w:val="21"/>
              </w:rPr>
              <w:t>不见面开标注意事项：</w:t>
            </w:r>
          </w:p>
          <w:p>
            <w:pPr>
              <w:adjustRightInd w:val="0"/>
              <w:snapToGrid w:val="0"/>
              <w:rPr>
                <w:rFonts w:ascii="宋体" w:hAnsi="宋体" w:eastAsia="宋体" w:cs="宋体"/>
                <w:szCs w:val="21"/>
              </w:rPr>
            </w:pPr>
            <w:r>
              <w:rPr>
                <w:rFonts w:hint="eastAsia" w:ascii="宋体" w:hAnsi="宋体" w:eastAsia="宋体" w:cs="宋体"/>
                <w:szCs w:val="21"/>
              </w:rPr>
              <w:t>1、开标时间均以国家授时中心发布的时间为准。</w:t>
            </w:r>
          </w:p>
          <w:p>
            <w:pPr>
              <w:adjustRightInd w:val="0"/>
              <w:snapToGrid w:val="0"/>
              <w:rPr>
                <w:rFonts w:ascii="宋体" w:hAnsi="宋体" w:eastAsia="宋体" w:cs="宋体"/>
                <w:szCs w:val="21"/>
              </w:rPr>
            </w:pPr>
            <w:r>
              <w:rPr>
                <w:rFonts w:hint="eastAsia" w:ascii="宋体" w:hAnsi="宋体" w:eastAsia="宋体" w:cs="宋体"/>
                <w:szCs w:val="21"/>
              </w:rPr>
              <w:t>2、本项目招投标文件均用专用招投标工具软件编制，并通过网上招投标平台完成招投标过程。投标人投标文件的编制和递交，应依照招标文件的规定进行。如未按招标文件要求编制、递交电子投标文件，将可能导致废标，其后果由投标人自负。投标人如对正确使用招投标专用工具软件有疑问的，请尽早和软件公司的服务人员联系，他们会根据投标人要求，提供必要的培训和技术支持。</w:t>
            </w:r>
          </w:p>
          <w:p>
            <w:pPr>
              <w:adjustRightInd w:val="0"/>
              <w:snapToGrid w:val="0"/>
              <w:rPr>
                <w:rFonts w:ascii="宋体" w:hAnsi="宋体" w:eastAsia="宋体" w:cs="宋体"/>
                <w:szCs w:val="21"/>
              </w:rPr>
            </w:pPr>
            <w:r>
              <w:rPr>
                <w:rFonts w:hint="eastAsia" w:ascii="宋体" w:hAnsi="宋体" w:eastAsia="宋体" w:cs="宋体"/>
                <w:szCs w:val="21"/>
              </w:rPr>
              <w:t>3、投标人通过网上招投标平台递交的电子投标文件为评标依据，开标当日，投标人可在任意地点通过登录会员系统网上开标大厅（http://js.etrading.cn/EpointBidOpening/bidopeninghallaction/hall/login），进入登录页面，通过CA登录与现场招标人进行互动交流、澄清、提疑以及文件传送等活动。</w:t>
            </w:r>
          </w:p>
          <w:p>
            <w:pPr>
              <w:adjustRightInd w:val="0"/>
              <w:snapToGrid w:val="0"/>
              <w:rPr>
                <w:rFonts w:ascii="宋体" w:hAnsi="宋体" w:eastAsia="宋体" w:cs="宋体"/>
                <w:szCs w:val="21"/>
              </w:rPr>
            </w:pPr>
            <w:r>
              <w:rPr>
                <w:rFonts w:hint="eastAsia" w:ascii="宋体" w:hAnsi="宋体" w:eastAsia="宋体" w:cs="宋体"/>
                <w:szCs w:val="21"/>
              </w:rPr>
              <w:t>4、投标文件递交截止时间后，招标人将在系统内公布投标人名单，然后通过开标会议区发出投标文件解密的指令，投标人在各自地点按规定时间自行实施远程解密，投标人应在招标文件规定的解密时间内完成解密。因投标人网络与电源不稳定、未配置软硬件、解密锁发生故障或用错、故意不在要求时限内完成解密等自身原因，导致投标文件在规定时间内未能解密、解密失败或解密超时，视为投标人撤销其投标文件，系统内投标文件将被退回；因招标人原因或网上招投标平台发生故障，导致无法按时完成投标文件解密或开、评标工作无法进行的，可根据实际情况相应延迟解密时间或调整开、评标时间（友情提示：若投标人已领取副锁（含多把副锁）请注意正副锁的使用差别）。</w:t>
            </w:r>
          </w:p>
          <w:p>
            <w:pPr>
              <w:adjustRightInd w:val="0"/>
              <w:snapToGrid w:val="0"/>
              <w:rPr>
                <w:rFonts w:ascii="宋体" w:hAnsi="宋体" w:eastAsia="宋体" w:cs="宋体"/>
                <w:szCs w:val="21"/>
              </w:rPr>
            </w:pPr>
            <w:r>
              <w:rPr>
                <w:rFonts w:hint="eastAsia" w:ascii="宋体" w:hAnsi="宋体" w:eastAsia="宋体" w:cs="宋体"/>
                <w:szCs w:val="21"/>
              </w:rPr>
              <w:t>5、开评标全过程中，各投标人参与远程交互的授权委托人或法人代表应始终为同一个人，中途不得更换，在废标、澄清、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pPr>
              <w:adjustRightInd w:val="0"/>
              <w:snapToGrid w:val="0"/>
              <w:rPr>
                <w:rFonts w:ascii="宋体" w:hAnsi="宋体" w:eastAsia="宋体" w:cs="宋体"/>
                <w:szCs w:val="21"/>
              </w:rPr>
            </w:pPr>
            <w:r>
              <w:rPr>
                <w:rFonts w:hint="eastAsia" w:ascii="宋体" w:hAnsi="宋体" w:eastAsia="宋体" w:cs="宋体"/>
                <w:szCs w:val="21"/>
              </w:rPr>
              <w:t>6、为保证交互效果，建议投标人选择封闭安静的地点参与远程交互。因投标人自身软硬件配备不齐全或发生故障等问题而导致在交互过程中出现不稳定或中断等情况的，由投标人自身承担一切后果。</w:t>
            </w:r>
          </w:p>
          <w:p>
            <w:pPr>
              <w:adjustRightInd w:val="0"/>
              <w:snapToGrid w:val="0"/>
              <w:rPr>
                <w:rFonts w:ascii="宋体" w:hAnsi="宋体" w:eastAsia="宋体" w:cs="宋体"/>
                <w:szCs w:val="21"/>
              </w:rPr>
            </w:pPr>
            <w:r>
              <w:rPr>
                <w:rFonts w:hint="eastAsia" w:ascii="宋体" w:hAnsi="宋体" w:eastAsia="宋体" w:cs="宋体"/>
                <w:szCs w:val="21"/>
              </w:rPr>
              <w:t>咨询电话：4009280095-5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10.7</w:t>
            </w:r>
          </w:p>
        </w:tc>
        <w:tc>
          <w:tcPr>
            <w:tcW w:w="2181" w:type="dxa"/>
            <w:vAlign w:val="center"/>
          </w:tcPr>
          <w:p>
            <w:pPr>
              <w:autoSpaceDE w:val="0"/>
              <w:autoSpaceDN w:val="0"/>
              <w:adjustRightInd w:val="0"/>
              <w:spacing w:line="312" w:lineRule="auto"/>
              <w:jc w:val="center"/>
              <w:rPr>
                <w:rFonts w:ascii="宋体" w:hAnsi="宋体" w:eastAsia="宋体" w:cs="宋体"/>
                <w:kern w:val="0"/>
                <w:sz w:val="24"/>
                <w:szCs w:val="21"/>
              </w:rPr>
            </w:pPr>
            <w:r>
              <w:rPr>
                <w:rFonts w:hint="eastAsia" w:ascii="宋体" w:hAnsi="宋体" w:eastAsia="宋体" w:cs="宋体"/>
                <w:kern w:val="0"/>
                <w:szCs w:val="21"/>
              </w:rPr>
              <w:t>解释权</w:t>
            </w:r>
          </w:p>
        </w:tc>
        <w:tc>
          <w:tcPr>
            <w:tcW w:w="5974" w:type="dxa"/>
          </w:tcPr>
          <w:p>
            <w:pPr>
              <w:autoSpaceDE w:val="0"/>
              <w:autoSpaceDN w:val="0"/>
              <w:adjustRightInd w:val="0"/>
              <w:spacing w:line="312" w:lineRule="auto"/>
              <w:jc w:val="left"/>
              <w:rPr>
                <w:rFonts w:ascii="宋体" w:hAnsi="宋体" w:eastAsia="宋体" w:cs="宋体"/>
                <w:snapToGrid w:val="0"/>
                <w:kern w:val="0"/>
                <w:sz w:val="24"/>
                <w:szCs w:val="21"/>
              </w:rPr>
            </w:pPr>
            <w:r>
              <w:rPr>
                <w:rFonts w:hint="eastAsia" w:ascii="宋体" w:hAnsi="宋体" w:eastAsia="宋体" w:cs="宋体"/>
                <w:kern w:val="0"/>
                <w:szCs w:val="21"/>
              </w:rPr>
              <w:t xml:space="preserve">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10.8</w:t>
            </w:r>
          </w:p>
        </w:tc>
        <w:tc>
          <w:tcPr>
            <w:tcW w:w="2181" w:type="dxa"/>
            <w:vAlign w:val="center"/>
          </w:tcPr>
          <w:p>
            <w:pPr>
              <w:autoSpaceDE w:val="0"/>
              <w:autoSpaceDN w:val="0"/>
              <w:adjustRightInd w:val="0"/>
              <w:spacing w:line="312" w:lineRule="auto"/>
              <w:jc w:val="center"/>
              <w:rPr>
                <w:rFonts w:ascii="宋体" w:hAnsi="宋体" w:eastAsia="宋体" w:cs="宋体"/>
                <w:kern w:val="0"/>
                <w:szCs w:val="21"/>
              </w:rPr>
            </w:pPr>
            <w:r>
              <w:rPr>
                <w:rFonts w:hint="eastAsia" w:ascii="宋体" w:hAnsi="宋体" w:eastAsia="宋体" w:cs="宋体"/>
                <w:spacing w:val="-6"/>
                <w:kern w:val="0"/>
                <w:szCs w:val="21"/>
              </w:rPr>
              <w:t>需要补充的其他内容</w:t>
            </w:r>
          </w:p>
        </w:tc>
        <w:tc>
          <w:tcPr>
            <w:tcW w:w="5974" w:type="dxa"/>
          </w:tcPr>
          <w:p>
            <w:pPr>
              <w:numPr>
                <w:ilvl w:val="0"/>
                <w:numId w:val="3"/>
              </w:numPr>
              <w:autoSpaceDE w:val="0"/>
              <w:autoSpaceDN w:val="0"/>
              <w:adjustRightInd w:val="0"/>
              <w:rPr>
                <w:rFonts w:ascii="宋体" w:hAnsi="Times New Roman" w:eastAsia="宋体" w:cs="宋体"/>
                <w:color w:val="000000"/>
                <w:kern w:val="0"/>
                <w:szCs w:val="21"/>
              </w:rPr>
            </w:pPr>
            <w:r>
              <w:rPr>
                <w:rFonts w:hint="eastAsia" w:ascii="宋体" w:hAnsi="Times New Roman" w:eastAsia="宋体" w:cs="宋体"/>
                <w:color w:val="000000"/>
                <w:kern w:val="0"/>
                <w:szCs w:val="21"/>
              </w:rPr>
              <w:t>下文中与</w:t>
            </w:r>
            <w:r>
              <w:rPr>
                <w:rFonts w:ascii="宋体" w:hAnsi="Times New Roman" w:eastAsia="宋体" w:cs="宋体"/>
                <w:color w:val="000000"/>
                <w:kern w:val="0"/>
                <w:szCs w:val="21"/>
              </w:rPr>
              <w:t>“</w:t>
            </w:r>
            <w:r>
              <w:rPr>
                <w:rFonts w:hint="eastAsia" w:ascii="宋体" w:hAnsi="Times New Roman" w:eastAsia="宋体" w:cs="宋体"/>
                <w:color w:val="000000"/>
                <w:kern w:val="0"/>
                <w:szCs w:val="21"/>
              </w:rPr>
              <w:t>前附表</w:t>
            </w:r>
            <w:r>
              <w:rPr>
                <w:rFonts w:ascii="宋体" w:hAnsi="Times New Roman" w:eastAsia="宋体" w:cs="宋体"/>
                <w:color w:val="000000"/>
                <w:kern w:val="0"/>
                <w:szCs w:val="21"/>
              </w:rPr>
              <w:t>”</w:t>
            </w:r>
            <w:r>
              <w:rPr>
                <w:rFonts w:hint="eastAsia" w:ascii="宋体" w:hAnsi="Times New Roman" w:eastAsia="宋体" w:cs="宋体"/>
                <w:color w:val="000000"/>
                <w:kern w:val="0"/>
                <w:szCs w:val="21"/>
              </w:rPr>
              <w:t>内容不一致的，以</w:t>
            </w:r>
            <w:r>
              <w:rPr>
                <w:rFonts w:ascii="宋体" w:hAnsi="Times New Roman" w:eastAsia="宋体" w:cs="宋体"/>
                <w:color w:val="000000"/>
                <w:kern w:val="0"/>
                <w:szCs w:val="21"/>
              </w:rPr>
              <w:t>“</w:t>
            </w:r>
            <w:r>
              <w:rPr>
                <w:rFonts w:hint="eastAsia" w:ascii="宋体" w:hAnsi="Times New Roman" w:eastAsia="宋体" w:cs="宋体"/>
                <w:color w:val="000000"/>
                <w:kern w:val="0"/>
                <w:szCs w:val="21"/>
              </w:rPr>
              <w:t>前附表</w:t>
            </w:r>
            <w:r>
              <w:rPr>
                <w:rFonts w:ascii="宋体" w:hAnsi="Times New Roman" w:eastAsia="宋体" w:cs="宋体"/>
                <w:color w:val="000000"/>
                <w:kern w:val="0"/>
                <w:szCs w:val="21"/>
              </w:rPr>
              <w:t>”</w:t>
            </w:r>
            <w:r>
              <w:rPr>
                <w:rFonts w:hint="eastAsia" w:ascii="宋体" w:hAnsi="Times New Roman" w:eastAsia="宋体" w:cs="宋体"/>
                <w:color w:val="000000"/>
                <w:kern w:val="0"/>
                <w:szCs w:val="21"/>
              </w:rPr>
              <w:t>为准；</w:t>
            </w:r>
          </w:p>
          <w:p>
            <w:pPr>
              <w:numPr>
                <w:ilvl w:val="0"/>
                <w:numId w:val="3"/>
              </w:numPr>
              <w:spacing w:after="120"/>
              <w:rPr>
                <w:rFonts w:ascii="Times New Roman" w:hAnsi="Times New Roman" w:eastAsia="宋体" w:cs="Times New Roman"/>
                <w:szCs w:val="20"/>
              </w:rPr>
            </w:pPr>
            <w:r>
              <w:rPr>
                <w:rFonts w:hint="eastAsia" w:ascii="宋体" w:hAnsi="Times New Roman" w:eastAsia="宋体" w:cs="宋体"/>
                <w:color w:val="000000"/>
                <w:kern w:val="0"/>
                <w:szCs w:val="21"/>
              </w:rPr>
              <w:t>中标人按招标人要求，提交与电子版投标文件内容一致的书</w:t>
            </w:r>
          </w:p>
          <w:p>
            <w:pPr>
              <w:spacing w:after="120"/>
              <w:rPr>
                <w:rFonts w:ascii="Times New Roman" w:hAnsi="Times New Roman" w:eastAsia="宋体" w:cs="Times New Roman"/>
                <w:szCs w:val="20"/>
              </w:rPr>
            </w:pPr>
            <w:r>
              <w:rPr>
                <w:rFonts w:hint="eastAsia" w:ascii="宋体" w:hAnsi="Times New Roman" w:eastAsia="宋体" w:cs="宋体"/>
                <w:color w:val="000000"/>
                <w:kern w:val="0"/>
                <w:szCs w:val="21"/>
              </w:rPr>
              <w:t>面投标文件三份。</w:t>
            </w:r>
          </w:p>
          <w:p>
            <w:pPr>
              <w:autoSpaceDE w:val="0"/>
              <w:autoSpaceDN w:val="0"/>
              <w:adjustRightInd w:val="0"/>
              <w:rPr>
                <w:rFonts w:ascii="宋体" w:hAnsi="Times New Roman" w:eastAsia="宋体" w:cs="宋体"/>
                <w:color w:val="000000"/>
                <w:kern w:val="0"/>
                <w:szCs w:val="21"/>
              </w:rPr>
            </w:pPr>
            <w:r>
              <w:rPr>
                <w:rFonts w:hint="eastAsia" w:ascii="宋体" w:hAnsi="Times New Roman" w:eastAsia="宋体" w:cs="宋体"/>
                <w:color w:val="000000"/>
                <w:kern w:val="0"/>
                <w:szCs w:val="21"/>
              </w:rPr>
              <w:t>3、投标人或者其他利害关系人认为招标投标活动不符合法律、法规和规章规定的</w:t>
            </w:r>
            <w:r>
              <w:rPr>
                <w:rFonts w:ascii="宋体" w:hAnsi="Times New Roman" w:eastAsia="宋体" w:cs="宋体"/>
                <w:color w:val="000000"/>
                <w:kern w:val="0"/>
                <w:szCs w:val="21"/>
              </w:rPr>
              <w:t>,</w:t>
            </w:r>
            <w:r>
              <w:rPr>
                <w:rFonts w:hint="eastAsia" w:ascii="宋体" w:hAnsi="Times New Roman" w:eastAsia="宋体" w:cs="宋体"/>
                <w:color w:val="000000"/>
                <w:kern w:val="0"/>
                <w:szCs w:val="21"/>
              </w:rPr>
              <w:t>可以依法向招标人提出异议，也可以在知道或者应当知道之日起</w:t>
            </w:r>
            <w:r>
              <w:rPr>
                <w:rFonts w:ascii="宋体" w:hAnsi="Times New Roman" w:eastAsia="宋体" w:cs="宋体"/>
                <w:color w:val="000000"/>
                <w:kern w:val="0"/>
                <w:szCs w:val="21"/>
              </w:rPr>
              <w:t xml:space="preserve"> 10 </w:t>
            </w:r>
            <w:r>
              <w:rPr>
                <w:rFonts w:hint="eastAsia" w:ascii="宋体" w:hAnsi="Times New Roman" w:eastAsia="宋体" w:cs="宋体"/>
                <w:color w:val="000000"/>
                <w:kern w:val="0"/>
                <w:szCs w:val="21"/>
              </w:rPr>
              <w:t>日内，向有关行政监督部门投诉，但就《中华人民共和国招标投标法实施条例》第二十二条、第四十四条、第五十四条规定事项进行投诉的，应当依法先向招标人提出异议。异议答复期间不计入投诉受理期限内。</w:t>
            </w:r>
            <w:r>
              <w:rPr>
                <w:rFonts w:ascii="宋体" w:hAnsi="Times New Roman" w:eastAsia="宋体" w:cs="宋体"/>
                <w:color w:val="000000"/>
                <w:kern w:val="0"/>
                <w:szCs w:val="21"/>
              </w:rPr>
              <w:t xml:space="preserve"> </w:t>
            </w:r>
          </w:p>
          <w:p>
            <w:pPr>
              <w:autoSpaceDE w:val="0"/>
              <w:autoSpaceDN w:val="0"/>
              <w:adjustRightInd w:val="0"/>
              <w:rPr>
                <w:rFonts w:ascii="宋体" w:hAnsi="Times New Roman" w:eastAsia="宋体" w:cs="宋体"/>
                <w:color w:val="000000"/>
                <w:kern w:val="0"/>
                <w:szCs w:val="21"/>
              </w:rPr>
            </w:pPr>
            <w:r>
              <w:rPr>
                <w:rFonts w:hint="eastAsia" w:ascii="宋体" w:hAnsi="Times New Roman" w:eastAsia="宋体" w:cs="宋体"/>
                <w:color w:val="000000"/>
                <w:kern w:val="0"/>
                <w:szCs w:val="21"/>
              </w:rPr>
              <w:t>4、异议提出的期限规定如下：</w:t>
            </w:r>
            <w:r>
              <w:rPr>
                <w:rFonts w:ascii="宋体" w:hAnsi="Times New Roman" w:eastAsia="宋体" w:cs="宋体"/>
                <w:color w:val="000000"/>
                <w:kern w:val="0"/>
                <w:szCs w:val="21"/>
              </w:rPr>
              <w:t xml:space="preserve"> </w:t>
            </w:r>
          </w:p>
          <w:p>
            <w:pPr>
              <w:autoSpaceDE w:val="0"/>
              <w:autoSpaceDN w:val="0"/>
              <w:adjustRightInd w:val="0"/>
              <w:rPr>
                <w:rFonts w:ascii="宋体" w:hAnsi="Times New Roman" w:eastAsia="宋体" w:cs="宋体"/>
                <w:color w:val="000000"/>
                <w:kern w:val="0"/>
                <w:szCs w:val="21"/>
              </w:rPr>
            </w:pPr>
            <w:r>
              <w:rPr>
                <w:rFonts w:ascii="宋体" w:hAnsi="Times New Roman" w:eastAsia="宋体" w:cs="宋体"/>
                <w:color w:val="000000"/>
                <w:kern w:val="0"/>
                <w:szCs w:val="21"/>
              </w:rPr>
              <w:t>1</w:t>
            </w:r>
            <w:r>
              <w:rPr>
                <w:rFonts w:hint="eastAsia" w:ascii="宋体" w:hAnsi="Times New Roman" w:eastAsia="宋体" w:cs="宋体"/>
                <w:color w:val="000000"/>
                <w:kern w:val="0"/>
                <w:szCs w:val="21"/>
              </w:rPr>
              <w:t>）、对招标文件有异议的，潜在投标人或者其他利害关系人应当在投标截止时间</w:t>
            </w:r>
            <w:r>
              <w:rPr>
                <w:rFonts w:ascii="宋体" w:hAnsi="Times New Roman" w:eastAsia="宋体" w:cs="宋体"/>
                <w:color w:val="000000"/>
                <w:kern w:val="0"/>
                <w:szCs w:val="21"/>
              </w:rPr>
              <w:t xml:space="preserve"> 10 </w:t>
            </w:r>
            <w:r>
              <w:rPr>
                <w:rFonts w:hint="eastAsia" w:ascii="宋体" w:hAnsi="Times New Roman" w:eastAsia="宋体" w:cs="宋体"/>
                <w:color w:val="000000"/>
                <w:kern w:val="0"/>
                <w:szCs w:val="21"/>
              </w:rPr>
              <w:t>日前提出，其中对采用合理价随机确定中标人法发包的，在提交投标文件截止时间</w:t>
            </w:r>
            <w:r>
              <w:rPr>
                <w:rFonts w:ascii="宋体" w:hAnsi="Times New Roman" w:eastAsia="宋体" w:cs="宋体"/>
                <w:color w:val="000000"/>
                <w:kern w:val="0"/>
                <w:szCs w:val="21"/>
              </w:rPr>
              <w:t xml:space="preserve"> 1 </w:t>
            </w:r>
            <w:r>
              <w:rPr>
                <w:rFonts w:hint="eastAsia" w:ascii="宋体" w:hAnsi="Times New Roman" w:eastAsia="宋体" w:cs="宋体"/>
                <w:color w:val="000000"/>
                <w:kern w:val="0"/>
                <w:szCs w:val="21"/>
              </w:rPr>
              <w:t>日前提出；</w:t>
            </w:r>
            <w:r>
              <w:rPr>
                <w:rFonts w:ascii="宋体" w:hAnsi="Times New Roman" w:eastAsia="宋体" w:cs="宋体"/>
                <w:color w:val="000000"/>
                <w:kern w:val="0"/>
                <w:szCs w:val="21"/>
              </w:rPr>
              <w:t xml:space="preserve"> </w:t>
            </w:r>
          </w:p>
          <w:p>
            <w:pPr>
              <w:autoSpaceDE w:val="0"/>
              <w:autoSpaceDN w:val="0"/>
              <w:adjustRightInd w:val="0"/>
              <w:rPr>
                <w:rFonts w:ascii="宋体" w:hAnsi="Times New Roman" w:eastAsia="宋体" w:cs="宋体"/>
                <w:color w:val="000000"/>
                <w:kern w:val="0"/>
                <w:szCs w:val="21"/>
              </w:rPr>
            </w:pPr>
            <w:r>
              <w:rPr>
                <w:rFonts w:ascii="宋体" w:hAnsi="Times New Roman" w:eastAsia="宋体" w:cs="宋体"/>
                <w:color w:val="000000"/>
                <w:kern w:val="0"/>
                <w:szCs w:val="21"/>
              </w:rPr>
              <w:t>2</w:t>
            </w:r>
            <w:r>
              <w:rPr>
                <w:rFonts w:hint="eastAsia" w:ascii="宋体" w:hAnsi="Times New Roman" w:eastAsia="宋体" w:cs="宋体"/>
                <w:color w:val="000000"/>
                <w:kern w:val="0"/>
                <w:szCs w:val="21"/>
              </w:rPr>
              <w:t>）异议人对涉及开标事项提出异议的，应当在开标结束前提出，招标人应当当场作出答复，并制作记录。开标结束后投标人不得对开标事项再提出异议。</w:t>
            </w:r>
            <w:r>
              <w:rPr>
                <w:rFonts w:ascii="宋体" w:hAnsi="Times New Roman" w:eastAsia="宋体" w:cs="宋体"/>
                <w:color w:val="000000"/>
                <w:kern w:val="0"/>
                <w:szCs w:val="21"/>
              </w:rPr>
              <w:t xml:space="preserve"> </w:t>
            </w:r>
          </w:p>
          <w:p>
            <w:pPr>
              <w:autoSpaceDE w:val="0"/>
              <w:autoSpaceDN w:val="0"/>
              <w:adjustRightInd w:val="0"/>
              <w:rPr>
                <w:rFonts w:ascii="宋体" w:hAnsi="Times New Roman" w:eastAsia="宋体" w:cs="宋体"/>
                <w:color w:val="000000"/>
                <w:kern w:val="0"/>
                <w:szCs w:val="21"/>
              </w:rPr>
            </w:pPr>
            <w:r>
              <w:rPr>
                <w:rFonts w:ascii="宋体" w:hAnsi="Times New Roman" w:eastAsia="宋体" w:cs="宋体"/>
                <w:color w:val="000000"/>
                <w:kern w:val="0"/>
                <w:szCs w:val="21"/>
              </w:rPr>
              <w:t>3</w:t>
            </w:r>
            <w:r>
              <w:rPr>
                <w:rFonts w:hint="eastAsia" w:ascii="宋体" w:hAnsi="Times New Roman" w:eastAsia="宋体" w:cs="宋体"/>
                <w:color w:val="000000"/>
                <w:kern w:val="0"/>
                <w:szCs w:val="21"/>
              </w:rPr>
              <w:t>）评标结果有异议的，投标人或者其他利害关系人应当在中标候选人的公示期间提出。</w:t>
            </w:r>
            <w:r>
              <w:rPr>
                <w:rFonts w:ascii="宋体" w:hAnsi="Times New Roman" w:eastAsia="宋体" w:cs="宋体"/>
                <w:color w:val="000000"/>
                <w:kern w:val="0"/>
                <w:szCs w:val="21"/>
              </w:rPr>
              <w:t xml:space="preserve"> </w:t>
            </w:r>
          </w:p>
          <w:p>
            <w:pPr>
              <w:adjustRightInd w:val="0"/>
              <w:snapToGrid w:val="0"/>
              <w:rPr>
                <w:rFonts w:ascii="Times New Roman" w:hAnsi="Times New Roman" w:eastAsia="宋体" w:cs="Times New Roman"/>
                <w:szCs w:val="21"/>
              </w:rPr>
            </w:pPr>
            <w:r>
              <w:rPr>
                <w:rFonts w:hint="eastAsia" w:ascii="Times New Roman" w:hAnsi="Times New Roman" w:eastAsia="宋体" w:cs="Times New Roman"/>
                <w:szCs w:val="21"/>
              </w:rPr>
              <w:t>5、异议、投诉受理单位及其联系方式</w:t>
            </w:r>
            <w:r>
              <w:rPr>
                <w:rFonts w:ascii="Times New Roman" w:hAnsi="Times New Roman" w:eastAsia="宋体" w:cs="Times New Roman"/>
                <w:szCs w:val="21"/>
              </w:rPr>
              <w:t xml:space="preserve"> </w:t>
            </w:r>
          </w:p>
          <w:p>
            <w:pPr>
              <w:autoSpaceDE w:val="0"/>
              <w:autoSpaceDN w:val="0"/>
              <w:adjustRightInd w:val="0"/>
              <w:rPr>
                <w:rFonts w:ascii="宋体" w:hAnsi="Times New Roman" w:eastAsia="宋体" w:cs="宋体"/>
                <w:color w:val="000000"/>
                <w:kern w:val="0"/>
                <w:szCs w:val="21"/>
              </w:rPr>
            </w:pPr>
            <w:r>
              <w:rPr>
                <w:rFonts w:ascii="宋体" w:hAnsi="Times New Roman" w:eastAsia="宋体" w:cs="宋体"/>
                <w:color w:val="000000"/>
                <w:kern w:val="0"/>
                <w:szCs w:val="21"/>
              </w:rPr>
              <w:t>1</w:t>
            </w:r>
            <w:r>
              <w:rPr>
                <w:rFonts w:hint="eastAsia" w:ascii="宋体" w:hAnsi="Times New Roman" w:eastAsia="宋体" w:cs="宋体"/>
                <w:color w:val="000000"/>
                <w:kern w:val="0"/>
                <w:szCs w:val="21"/>
              </w:rPr>
              <w:t>）、异议受理单位：仪征市博润建材商贸有限公司</w:t>
            </w:r>
          </w:p>
          <w:p>
            <w:pPr>
              <w:autoSpaceDE w:val="0"/>
              <w:autoSpaceDN w:val="0"/>
              <w:adjustRightInd w:val="0"/>
              <w:rPr>
                <w:rFonts w:ascii="宋体" w:hAnsi="Times New Roman" w:eastAsia="宋体" w:cs="宋体"/>
                <w:color w:val="000000"/>
                <w:kern w:val="0"/>
                <w:szCs w:val="21"/>
              </w:rPr>
            </w:pPr>
            <w:r>
              <w:rPr>
                <w:rFonts w:hint="eastAsia" w:ascii="宋体" w:hAnsi="Times New Roman" w:eastAsia="宋体" w:cs="宋体"/>
                <w:color w:val="000000"/>
                <w:kern w:val="0"/>
                <w:szCs w:val="21"/>
              </w:rPr>
              <w:t>联系电话：</w:t>
            </w:r>
            <w:r>
              <w:rPr>
                <w:rFonts w:ascii="宋体" w:hAnsi="Times New Roman" w:eastAsia="宋体" w:cs="宋体"/>
                <w:color w:val="000000"/>
                <w:kern w:val="0"/>
                <w:szCs w:val="21"/>
              </w:rPr>
              <w:t>0514-83585696</w:t>
            </w:r>
          </w:p>
          <w:p>
            <w:pPr>
              <w:autoSpaceDE w:val="0"/>
              <w:autoSpaceDN w:val="0"/>
              <w:adjustRightInd w:val="0"/>
              <w:rPr>
                <w:rFonts w:ascii="宋体" w:hAnsi="Times New Roman" w:eastAsia="宋体" w:cs="宋体"/>
                <w:color w:val="000000"/>
                <w:kern w:val="0"/>
                <w:szCs w:val="21"/>
              </w:rPr>
            </w:pPr>
            <w:r>
              <w:rPr>
                <w:rFonts w:hint="eastAsia" w:ascii="宋体" w:hAnsi="Times New Roman" w:eastAsia="宋体" w:cs="宋体"/>
                <w:color w:val="000000"/>
                <w:kern w:val="0"/>
                <w:szCs w:val="21"/>
              </w:rPr>
              <w:t xml:space="preserve">地址：仪征市解放东路818号 </w:t>
            </w:r>
          </w:p>
          <w:p>
            <w:pPr>
              <w:autoSpaceDE w:val="0"/>
              <w:autoSpaceDN w:val="0"/>
              <w:adjustRightInd w:val="0"/>
              <w:rPr>
                <w:rFonts w:ascii="宋体" w:hAnsi="Times New Roman" w:eastAsia="宋体" w:cs="宋体"/>
                <w:color w:val="000000"/>
                <w:kern w:val="0"/>
                <w:szCs w:val="21"/>
              </w:rPr>
            </w:pPr>
            <w:r>
              <w:rPr>
                <w:rFonts w:ascii="宋体" w:hAnsi="Times New Roman" w:eastAsia="宋体" w:cs="宋体"/>
                <w:color w:val="000000"/>
                <w:kern w:val="0"/>
                <w:szCs w:val="21"/>
              </w:rPr>
              <w:t>2</w:t>
            </w:r>
            <w:r>
              <w:rPr>
                <w:rFonts w:hint="eastAsia" w:ascii="宋体" w:hAnsi="Times New Roman" w:eastAsia="宋体" w:cs="宋体"/>
                <w:color w:val="000000"/>
                <w:kern w:val="0"/>
                <w:szCs w:val="21"/>
              </w:rPr>
              <w:t>）、投诉受理单位：仪征市博润建材商贸有限公司</w:t>
            </w:r>
          </w:p>
          <w:p>
            <w:pPr>
              <w:autoSpaceDE w:val="0"/>
              <w:autoSpaceDN w:val="0"/>
              <w:adjustRightInd w:val="0"/>
              <w:rPr>
                <w:rFonts w:ascii="宋体" w:hAnsi="Times New Roman" w:eastAsia="宋体" w:cs="宋体"/>
                <w:color w:val="000000"/>
                <w:kern w:val="0"/>
                <w:szCs w:val="21"/>
              </w:rPr>
            </w:pPr>
            <w:r>
              <w:rPr>
                <w:rFonts w:hint="eastAsia" w:ascii="宋体" w:hAnsi="Times New Roman" w:eastAsia="宋体" w:cs="宋体"/>
                <w:color w:val="000000"/>
                <w:kern w:val="0"/>
                <w:szCs w:val="21"/>
              </w:rPr>
              <w:t>联系电话：</w:t>
            </w:r>
            <w:r>
              <w:rPr>
                <w:rFonts w:ascii="宋体" w:hAnsi="Times New Roman" w:eastAsia="宋体" w:cs="宋体"/>
                <w:color w:val="000000"/>
                <w:kern w:val="0"/>
                <w:szCs w:val="21"/>
              </w:rPr>
              <w:t xml:space="preserve"> 0514-83585696</w:t>
            </w:r>
          </w:p>
          <w:p>
            <w:pPr>
              <w:autoSpaceDE w:val="0"/>
              <w:autoSpaceDN w:val="0"/>
              <w:adjustRightInd w:val="0"/>
              <w:rPr>
                <w:rFonts w:ascii="宋体" w:hAnsi="Times New Roman" w:eastAsia="宋体" w:cs="宋体"/>
                <w:color w:val="000000"/>
                <w:kern w:val="0"/>
                <w:sz w:val="24"/>
                <w:szCs w:val="21"/>
              </w:rPr>
            </w:pPr>
            <w:r>
              <w:rPr>
                <w:rFonts w:hint="eastAsia" w:ascii="宋体" w:hAnsi="Times New Roman" w:eastAsia="宋体" w:cs="宋体"/>
                <w:color w:val="000000"/>
                <w:kern w:val="0"/>
                <w:szCs w:val="21"/>
              </w:rPr>
              <w:t>地址：仪征市解放东路818号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072" w:type="dxa"/>
            <w:gridSpan w:val="3"/>
            <w:vAlign w:val="center"/>
          </w:tcPr>
          <w:p>
            <w:pPr>
              <w:autoSpaceDE w:val="0"/>
              <w:autoSpaceDN w:val="0"/>
              <w:adjustRightInd w:val="0"/>
              <w:rPr>
                <w:rFonts w:ascii="宋体" w:hAnsi="Times New Roman" w:eastAsia="宋体" w:cs="宋体"/>
                <w:color w:val="000000"/>
                <w:kern w:val="0"/>
                <w:szCs w:val="21"/>
              </w:rPr>
            </w:pPr>
            <w:r>
              <w:rPr>
                <w:rFonts w:hint="eastAsia" w:ascii="宋体" w:hAnsi="宋体" w:eastAsia="宋体" w:cs="宋体"/>
                <w:color w:val="000000"/>
                <w:szCs w:val="21"/>
              </w:rPr>
              <w:t>电子投标咨询电话（软件公司技术咨询）：</w:t>
            </w:r>
            <w:r>
              <w:rPr>
                <w:rFonts w:ascii="宋体" w:hAnsi="宋体" w:eastAsia="宋体" w:cs="宋体"/>
                <w:color w:val="000000"/>
                <w:szCs w:val="21"/>
              </w:rPr>
              <w:t>4009280095-4</w:t>
            </w:r>
          </w:p>
        </w:tc>
      </w:tr>
    </w:tbl>
    <w:p>
      <w:pPr>
        <w:autoSpaceDE w:val="0"/>
        <w:autoSpaceDN w:val="0"/>
        <w:adjustRightInd w:val="0"/>
        <w:spacing w:line="320" w:lineRule="exact"/>
        <w:ind w:firstLine="210" w:firstLineChars="100"/>
        <w:jc w:val="center"/>
        <w:rPr>
          <w:rFonts w:ascii="Calibri" w:hAnsi="Calibri" w:eastAsia="Calibri" w:cs="Cambria Math"/>
          <w:kern w:val="0"/>
          <w:szCs w:val="21"/>
        </w:rPr>
        <w:sectPr>
          <w:footerReference r:id="rId7" w:type="default"/>
          <w:type w:val="nextColumn"/>
          <w:pgSz w:w="11906" w:h="16838"/>
          <w:pgMar w:top="1418" w:right="1021" w:bottom="1134" w:left="1701" w:header="851" w:footer="624" w:gutter="0"/>
          <w:pgNumType w:start="1"/>
          <w:cols w:space="720" w:num="1"/>
          <w:docGrid w:linePitch="312" w:charSpace="0"/>
        </w:sectPr>
      </w:pPr>
    </w:p>
    <w:bookmarkEnd w:id="0"/>
    <w:bookmarkEnd w:id="1"/>
    <w:bookmarkEnd w:id="2"/>
    <w:p>
      <w:pPr>
        <w:spacing w:line="380" w:lineRule="exact"/>
        <w:jc w:val="center"/>
        <w:outlineLvl w:val="1"/>
        <w:rPr>
          <w:rFonts w:ascii="Calibri" w:hAnsi="Calibri" w:eastAsia="Calibri" w:cs="Times New Roman"/>
          <w:b/>
          <w:kern w:val="0"/>
          <w:sz w:val="28"/>
          <w:szCs w:val="28"/>
        </w:rPr>
      </w:pPr>
      <w:bookmarkStart w:id="15" w:name="_Toc367894798"/>
      <w:bookmarkStart w:id="16" w:name="_Toc397975243"/>
      <w:bookmarkStart w:id="17" w:name="_Toc363329370"/>
      <w:bookmarkStart w:id="18" w:name="_Toc184635071"/>
      <w:bookmarkStart w:id="19" w:name="_Toc368760427"/>
      <w:bookmarkStart w:id="20" w:name="_Toc369077561"/>
      <w:bookmarkStart w:id="21" w:name="_Toc368759375"/>
      <w:r>
        <w:rPr>
          <w:rFonts w:ascii="Calibri" w:hAnsi="Calibri" w:eastAsia="Calibri" w:cs="Times New Roman"/>
          <w:b/>
          <w:kern w:val="0"/>
          <w:sz w:val="28"/>
          <w:szCs w:val="28"/>
        </w:rPr>
        <w:t>1.</w:t>
      </w:r>
      <w:r>
        <w:rPr>
          <w:rFonts w:hint="eastAsia" w:ascii="宋体" w:hAnsi="宋体" w:eastAsia="宋体" w:cs="宋体"/>
          <w:b/>
          <w:kern w:val="0"/>
          <w:sz w:val="28"/>
          <w:szCs w:val="28"/>
        </w:rPr>
        <w:t>总则</w:t>
      </w:r>
      <w:bookmarkEnd w:id="15"/>
      <w:bookmarkEnd w:id="16"/>
      <w:bookmarkEnd w:id="17"/>
      <w:bookmarkEnd w:id="18"/>
      <w:bookmarkEnd w:id="19"/>
      <w:bookmarkEnd w:id="20"/>
      <w:bookmarkEnd w:id="21"/>
    </w:p>
    <w:p>
      <w:pPr>
        <w:spacing w:line="380" w:lineRule="exact"/>
        <w:outlineLvl w:val="2"/>
        <w:rPr>
          <w:rFonts w:ascii="Calibri" w:hAnsi="Calibri" w:eastAsia="Calibri" w:cs="Times New Roman"/>
          <w:b/>
          <w:bCs/>
          <w:sz w:val="28"/>
          <w:szCs w:val="28"/>
        </w:rPr>
      </w:pPr>
      <w:bookmarkStart w:id="22" w:name="_Toc397975244"/>
      <w:r>
        <w:rPr>
          <w:rFonts w:ascii="Calibri" w:hAnsi="Calibri" w:eastAsia="Calibri" w:cs="Times New Roman"/>
          <w:b/>
          <w:bCs/>
          <w:sz w:val="28"/>
          <w:szCs w:val="28"/>
        </w:rPr>
        <w:t xml:space="preserve">1.1 </w:t>
      </w:r>
      <w:r>
        <w:rPr>
          <w:rFonts w:hint="eastAsia" w:ascii="宋体" w:hAnsi="宋体" w:eastAsia="宋体" w:cs="宋体"/>
          <w:b/>
          <w:bCs/>
          <w:sz w:val="28"/>
          <w:szCs w:val="28"/>
        </w:rPr>
        <w:t>项目概况</w:t>
      </w:r>
      <w:bookmarkEnd w:id="22"/>
    </w:p>
    <w:p>
      <w:pPr>
        <w:spacing w:line="380" w:lineRule="exact"/>
        <w:ind w:firstLine="420" w:firstLineChars="200"/>
        <w:rPr>
          <w:rFonts w:ascii="Calibri" w:hAnsi="Calibri" w:eastAsia="宋体" w:cs="Times New Roman"/>
          <w:szCs w:val="21"/>
        </w:rPr>
      </w:pPr>
      <w:r>
        <w:rPr>
          <w:rFonts w:ascii="Calibri" w:hAnsi="Calibri" w:eastAsia="宋体" w:cs="Times New Roman"/>
          <w:szCs w:val="21"/>
        </w:rPr>
        <w:t>1.1.1根据有关法律、法规和规章的规定，本招标项目已具备招标条件，现对本项目货物进行招标。</w:t>
      </w:r>
    </w:p>
    <w:p>
      <w:pPr>
        <w:spacing w:line="380" w:lineRule="exact"/>
        <w:ind w:firstLine="420" w:firstLineChars="200"/>
        <w:rPr>
          <w:rFonts w:ascii="Calibri" w:hAnsi="Calibri" w:eastAsia="宋体" w:cs="Times New Roman"/>
          <w:szCs w:val="21"/>
        </w:rPr>
      </w:pPr>
      <w:r>
        <w:rPr>
          <w:rFonts w:ascii="Calibri" w:hAnsi="Calibri" w:eastAsia="宋体" w:cs="Times New Roman"/>
          <w:szCs w:val="21"/>
        </w:rPr>
        <w:t>1.1.2本招标项目招标人：见投标人须知前附表。</w:t>
      </w:r>
    </w:p>
    <w:p>
      <w:pPr>
        <w:spacing w:line="380" w:lineRule="exact"/>
        <w:ind w:firstLine="420" w:firstLineChars="200"/>
        <w:rPr>
          <w:rFonts w:ascii="Calibri" w:hAnsi="Calibri" w:eastAsia="宋体" w:cs="Times New Roman"/>
          <w:szCs w:val="21"/>
        </w:rPr>
      </w:pPr>
      <w:r>
        <w:rPr>
          <w:rFonts w:ascii="Calibri" w:hAnsi="Calibri" w:eastAsia="宋体" w:cs="Times New Roman"/>
          <w:szCs w:val="21"/>
        </w:rPr>
        <w:t>1.1.3本招标项目</w:t>
      </w:r>
      <w:r>
        <w:rPr>
          <w:rFonts w:hint="eastAsia" w:ascii="Calibri" w:hAnsi="Calibri" w:eastAsia="宋体" w:cs="Times New Roman"/>
          <w:szCs w:val="21"/>
        </w:rPr>
        <w:t>招标代理机构</w:t>
      </w:r>
      <w:r>
        <w:rPr>
          <w:rFonts w:ascii="Calibri" w:hAnsi="Calibri" w:eastAsia="宋体" w:cs="Times New Roman"/>
          <w:szCs w:val="21"/>
        </w:rPr>
        <w:t>：见投标人须知前附表。</w:t>
      </w:r>
    </w:p>
    <w:p>
      <w:pPr>
        <w:spacing w:line="380" w:lineRule="exact"/>
        <w:ind w:firstLine="420" w:firstLineChars="200"/>
        <w:rPr>
          <w:rFonts w:ascii="Calibri" w:hAnsi="Calibri" w:eastAsia="宋体" w:cs="Times New Roman"/>
          <w:szCs w:val="21"/>
        </w:rPr>
      </w:pPr>
      <w:r>
        <w:rPr>
          <w:rFonts w:ascii="Calibri" w:hAnsi="Calibri" w:eastAsia="宋体" w:cs="Times New Roman"/>
          <w:szCs w:val="21"/>
        </w:rPr>
        <w:t>1.1.</w:t>
      </w:r>
      <w:r>
        <w:rPr>
          <w:rFonts w:hint="eastAsia" w:ascii="Calibri" w:hAnsi="Calibri" w:eastAsia="宋体" w:cs="Times New Roman"/>
          <w:szCs w:val="21"/>
        </w:rPr>
        <w:t>4</w:t>
      </w:r>
      <w:r>
        <w:rPr>
          <w:rFonts w:ascii="Calibri" w:hAnsi="Calibri" w:eastAsia="宋体" w:cs="Times New Roman"/>
          <w:szCs w:val="21"/>
        </w:rPr>
        <w:t>本招标项目名称：见投标人须知前附表。</w:t>
      </w:r>
    </w:p>
    <w:p>
      <w:pPr>
        <w:spacing w:line="380" w:lineRule="exact"/>
        <w:outlineLvl w:val="2"/>
        <w:rPr>
          <w:rFonts w:ascii="Calibri" w:hAnsi="Calibri" w:eastAsia="Calibri" w:cs="Times New Roman"/>
          <w:b/>
          <w:bCs/>
          <w:sz w:val="28"/>
          <w:szCs w:val="28"/>
        </w:rPr>
      </w:pPr>
      <w:bookmarkStart w:id="23" w:name="_Toc397975245"/>
      <w:r>
        <w:rPr>
          <w:rFonts w:ascii="Calibri" w:hAnsi="Calibri" w:eastAsia="Calibri" w:cs="Times New Roman"/>
          <w:b/>
          <w:bCs/>
          <w:sz w:val="28"/>
          <w:szCs w:val="28"/>
        </w:rPr>
        <w:t xml:space="preserve">1.2 </w:t>
      </w:r>
      <w:r>
        <w:rPr>
          <w:rFonts w:hint="eastAsia" w:ascii="宋体" w:hAnsi="宋体" w:eastAsia="宋体" w:cs="宋体"/>
          <w:b/>
          <w:bCs/>
          <w:sz w:val="28"/>
          <w:szCs w:val="28"/>
        </w:rPr>
        <w:t>资金来源和落实情况</w:t>
      </w:r>
      <w:bookmarkEnd w:id="23"/>
    </w:p>
    <w:p>
      <w:pPr>
        <w:spacing w:line="380" w:lineRule="exact"/>
        <w:ind w:firstLine="420" w:firstLineChars="200"/>
        <w:rPr>
          <w:rFonts w:ascii="Calibri" w:hAnsi="Calibri" w:eastAsia="宋体" w:cs="Times New Roman"/>
          <w:szCs w:val="21"/>
        </w:rPr>
      </w:pPr>
      <w:r>
        <w:rPr>
          <w:rFonts w:ascii="Calibri" w:hAnsi="Calibri" w:eastAsia="宋体" w:cs="Times New Roman"/>
          <w:szCs w:val="21"/>
        </w:rPr>
        <w:t>1.2.1本招标项目的资金来源：见投标人须知前附表。</w:t>
      </w:r>
    </w:p>
    <w:p>
      <w:pPr>
        <w:spacing w:line="380" w:lineRule="exact"/>
        <w:ind w:firstLine="420" w:firstLineChars="200"/>
        <w:rPr>
          <w:rFonts w:ascii="Calibri" w:hAnsi="Calibri" w:eastAsia="宋体" w:cs="Times New Roman"/>
          <w:szCs w:val="21"/>
        </w:rPr>
      </w:pPr>
      <w:r>
        <w:rPr>
          <w:rFonts w:ascii="Calibri" w:hAnsi="Calibri" w:eastAsia="宋体" w:cs="Times New Roman"/>
          <w:szCs w:val="21"/>
        </w:rPr>
        <w:t>1.2.2本招标项目的出资比例：见投标人须知前附表。</w:t>
      </w:r>
    </w:p>
    <w:p>
      <w:pPr>
        <w:spacing w:line="380" w:lineRule="exact"/>
        <w:ind w:firstLine="420" w:firstLineChars="200"/>
        <w:rPr>
          <w:rFonts w:ascii="Calibri" w:hAnsi="Calibri" w:eastAsia="宋体" w:cs="Times New Roman"/>
          <w:szCs w:val="21"/>
        </w:rPr>
      </w:pPr>
      <w:r>
        <w:rPr>
          <w:rFonts w:ascii="Calibri" w:hAnsi="Calibri" w:eastAsia="宋体" w:cs="Times New Roman"/>
          <w:szCs w:val="21"/>
        </w:rPr>
        <w:t>1.2.</w:t>
      </w:r>
      <w:r>
        <w:rPr>
          <w:rFonts w:hint="eastAsia" w:ascii="Calibri" w:hAnsi="Calibri" w:eastAsia="宋体" w:cs="Times New Roman"/>
          <w:szCs w:val="21"/>
        </w:rPr>
        <w:t>3</w:t>
      </w:r>
      <w:r>
        <w:rPr>
          <w:rFonts w:ascii="Calibri" w:hAnsi="Calibri" w:eastAsia="宋体" w:cs="Times New Roman"/>
          <w:szCs w:val="21"/>
        </w:rPr>
        <w:t>本招标项目的资金落实情况：见投标人须知前附表。</w:t>
      </w:r>
    </w:p>
    <w:p>
      <w:pPr>
        <w:spacing w:line="380" w:lineRule="exact"/>
        <w:outlineLvl w:val="2"/>
        <w:rPr>
          <w:rFonts w:ascii="Calibri" w:hAnsi="Calibri" w:eastAsia="Calibri" w:cs="Times New Roman"/>
          <w:b/>
          <w:bCs/>
          <w:sz w:val="28"/>
          <w:szCs w:val="28"/>
        </w:rPr>
      </w:pPr>
      <w:bookmarkStart w:id="24" w:name="_Toc397975246"/>
      <w:r>
        <w:rPr>
          <w:rFonts w:ascii="Calibri" w:hAnsi="Calibri" w:eastAsia="Calibri" w:cs="Times New Roman"/>
          <w:b/>
          <w:bCs/>
          <w:sz w:val="28"/>
          <w:szCs w:val="28"/>
        </w:rPr>
        <w:t>1.3</w:t>
      </w:r>
      <w:r>
        <w:rPr>
          <w:rFonts w:hint="eastAsia" w:ascii="宋体" w:hAnsi="宋体" w:eastAsia="宋体" w:cs="宋体"/>
          <w:b/>
          <w:bCs/>
          <w:sz w:val="28"/>
          <w:szCs w:val="28"/>
        </w:rPr>
        <w:t>招标范围、交货期或工期和质量要求</w:t>
      </w:r>
      <w:bookmarkEnd w:id="24"/>
    </w:p>
    <w:p>
      <w:pPr>
        <w:spacing w:line="380" w:lineRule="exact"/>
        <w:ind w:firstLine="420" w:firstLineChars="200"/>
        <w:rPr>
          <w:rFonts w:ascii="Calibri" w:hAnsi="Calibri" w:eastAsia="宋体" w:cs="Times New Roman"/>
          <w:szCs w:val="21"/>
        </w:rPr>
      </w:pPr>
      <w:r>
        <w:rPr>
          <w:rFonts w:ascii="Calibri" w:hAnsi="Calibri" w:eastAsia="宋体" w:cs="Times New Roman"/>
          <w:szCs w:val="21"/>
        </w:rPr>
        <w:t>1.3.1本次招标范围：见投标人须知前附表。</w:t>
      </w:r>
    </w:p>
    <w:p>
      <w:pPr>
        <w:spacing w:line="380" w:lineRule="exact"/>
        <w:ind w:firstLine="420" w:firstLineChars="200"/>
        <w:rPr>
          <w:rFonts w:ascii="Calibri" w:hAnsi="Calibri" w:eastAsia="宋体" w:cs="Times New Roman"/>
          <w:szCs w:val="21"/>
        </w:rPr>
      </w:pPr>
      <w:r>
        <w:rPr>
          <w:rFonts w:ascii="Calibri" w:hAnsi="Calibri" w:eastAsia="宋体" w:cs="Times New Roman"/>
          <w:szCs w:val="21"/>
        </w:rPr>
        <w:t>1.3.2本招标项目的交货期或工期：见投标人须知前附表。</w:t>
      </w:r>
    </w:p>
    <w:p>
      <w:pPr>
        <w:spacing w:line="380" w:lineRule="exact"/>
        <w:ind w:firstLine="420" w:firstLineChars="200"/>
        <w:rPr>
          <w:rFonts w:ascii="Calibri" w:hAnsi="Calibri" w:eastAsia="宋体" w:cs="Times New Roman"/>
          <w:szCs w:val="21"/>
        </w:rPr>
      </w:pPr>
      <w:r>
        <w:rPr>
          <w:rFonts w:ascii="Calibri" w:hAnsi="Calibri" w:eastAsia="宋体" w:cs="Times New Roman"/>
          <w:szCs w:val="21"/>
        </w:rPr>
        <w:t>1.3.3本招标项目的交货地点：见投标人须知前附表。</w:t>
      </w:r>
    </w:p>
    <w:p>
      <w:pPr>
        <w:spacing w:line="380" w:lineRule="exact"/>
        <w:ind w:firstLine="420" w:firstLineChars="200"/>
        <w:rPr>
          <w:rFonts w:ascii="Calibri" w:hAnsi="Calibri" w:eastAsia="宋体" w:cs="Times New Roman"/>
          <w:szCs w:val="21"/>
        </w:rPr>
      </w:pPr>
      <w:r>
        <w:rPr>
          <w:rFonts w:ascii="Calibri" w:hAnsi="Calibri" w:eastAsia="宋体" w:cs="Times New Roman"/>
          <w:szCs w:val="21"/>
        </w:rPr>
        <w:t>1.3.4本招标项目的质量要求</w:t>
      </w:r>
      <w:r>
        <w:rPr>
          <w:rFonts w:hint="eastAsia" w:ascii="Calibri" w:hAnsi="Calibri" w:eastAsia="宋体" w:cs="Times New Roman"/>
          <w:szCs w:val="21"/>
        </w:rPr>
        <w:t>及验收标准</w:t>
      </w:r>
      <w:r>
        <w:rPr>
          <w:rFonts w:ascii="Calibri" w:hAnsi="Calibri" w:eastAsia="宋体" w:cs="Times New Roman"/>
          <w:szCs w:val="21"/>
        </w:rPr>
        <w:t>：见投标人须知前附表。</w:t>
      </w:r>
    </w:p>
    <w:p>
      <w:pPr>
        <w:spacing w:line="380" w:lineRule="exact"/>
        <w:outlineLvl w:val="2"/>
        <w:rPr>
          <w:rFonts w:ascii="Calibri" w:hAnsi="Calibri" w:eastAsia="Calibri" w:cs="Times New Roman"/>
          <w:b/>
          <w:bCs/>
          <w:sz w:val="28"/>
          <w:szCs w:val="28"/>
        </w:rPr>
      </w:pPr>
      <w:bookmarkStart w:id="25" w:name="_Toc397975247"/>
      <w:r>
        <w:rPr>
          <w:rFonts w:ascii="Calibri" w:hAnsi="Calibri" w:eastAsia="Calibri" w:cs="Times New Roman"/>
          <w:b/>
          <w:bCs/>
          <w:sz w:val="28"/>
          <w:szCs w:val="28"/>
        </w:rPr>
        <w:t xml:space="preserve">1.4 </w:t>
      </w:r>
      <w:r>
        <w:rPr>
          <w:rFonts w:hint="eastAsia" w:ascii="宋体" w:hAnsi="宋体" w:eastAsia="宋体" w:cs="宋体"/>
          <w:b/>
          <w:bCs/>
          <w:sz w:val="28"/>
          <w:szCs w:val="28"/>
        </w:rPr>
        <w:t>投标人资格要求</w:t>
      </w:r>
      <w:bookmarkEnd w:id="25"/>
    </w:p>
    <w:p>
      <w:pPr>
        <w:autoSpaceDE w:val="0"/>
        <w:autoSpaceDN w:val="0"/>
        <w:adjustRightInd w:val="0"/>
        <w:spacing w:line="380" w:lineRule="exact"/>
        <w:ind w:firstLine="420" w:firstLineChars="200"/>
        <w:jc w:val="left"/>
        <w:rPr>
          <w:rFonts w:ascii="Calibri" w:hAnsi="Calibri" w:eastAsia="宋体" w:cs="Times New Roman"/>
          <w:szCs w:val="20"/>
        </w:rPr>
      </w:pPr>
      <w:r>
        <w:rPr>
          <w:rFonts w:hint="eastAsia" w:ascii="Calibri" w:hAnsi="Calibri" w:eastAsia="宋体" w:cs="Times New Roman"/>
          <w:szCs w:val="21"/>
        </w:rPr>
        <w:t>1.4.1</w:t>
      </w:r>
      <w:r>
        <w:rPr>
          <w:rFonts w:hint="eastAsia" w:ascii="Calibri" w:hAnsi="Calibri" w:eastAsia="宋体" w:cs="Calibri"/>
          <w:kern w:val="0"/>
          <w:szCs w:val="21"/>
        </w:rPr>
        <w:t xml:space="preserve"> </w:t>
      </w:r>
      <w:r>
        <w:rPr>
          <w:rFonts w:hint="eastAsia" w:ascii="Calibri" w:hAnsi="Calibri" w:eastAsia="宋体" w:cs="Times New Roman"/>
          <w:szCs w:val="20"/>
        </w:rPr>
        <w:t>投标人应具备的资格要求：见投标人须知前附表。</w:t>
      </w:r>
    </w:p>
    <w:p>
      <w:pPr>
        <w:autoSpaceDE w:val="0"/>
        <w:autoSpaceDN w:val="0"/>
        <w:adjustRightInd w:val="0"/>
        <w:spacing w:line="380" w:lineRule="exact"/>
        <w:ind w:firstLine="420" w:firstLineChars="200"/>
        <w:jc w:val="left"/>
        <w:rPr>
          <w:rFonts w:ascii="Calibri" w:hAnsi="Calibri" w:eastAsia="宋体" w:cs="Times New Roman"/>
          <w:szCs w:val="20"/>
        </w:rPr>
      </w:pPr>
      <w:r>
        <w:rPr>
          <w:rFonts w:hint="eastAsia" w:ascii="Calibri" w:hAnsi="Calibri" w:eastAsia="宋体" w:cs="Calibri"/>
          <w:kern w:val="0"/>
          <w:szCs w:val="21"/>
        </w:rPr>
        <w:t>1.4.2</w:t>
      </w:r>
      <w:r>
        <w:rPr>
          <w:rFonts w:hint="eastAsia" w:ascii="Calibri" w:hAnsi="Calibri" w:eastAsia="宋体" w:cs="Times New Roman"/>
          <w:szCs w:val="20"/>
        </w:rPr>
        <w:t>投标人须知前附表规定接受联合体投标的，除应符合本章第1.4.1项和投标人须知前附表的要求外，还应遵守以下规定：</w:t>
      </w:r>
    </w:p>
    <w:p>
      <w:pPr>
        <w:autoSpaceDE w:val="0"/>
        <w:autoSpaceDN w:val="0"/>
        <w:adjustRightInd w:val="0"/>
        <w:spacing w:line="380" w:lineRule="exact"/>
        <w:ind w:firstLine="420" w:firstLineChars="200"/>
        <w:jc w:val="left"/>
        <w:rPr>
          <w:rFonts w:ascii="Calibri" w:hAnsi="Calibri" w:eastAsia="宋体" w:cs="Times New Roman"/>
          <w:szCs w:val="20"/>
        </w:rPr>
      </w:pPr>
      <w:r>
        <w:rPr>
          <w:rFonts w:hint="eastAsia" w:ascii="Calibri" w:hAnsi="Calibri" w:eastAsia="宋体" w:cs="Times New Roman"/>
          <w:szCs w:val="20"/>
        </w:rPr>
        <w:t>（1）联合体各方应按招标文件提供的格式签订联合体协议书，明确联合体牵头人和各方的权利义务；</w:t>
      </w:r>
    </w:p>
    <w:p>
      <w:pPr>
        <w:autoSpaceDE w:val="0"/>
        <w:autoSpaceDN w:val="0"/>
        <w:adjustRightInd w:val="0"/>
        <w:spacing w:line="380" w:lineRule="exact"/>
        <w:ind w:firstLine="420" w:firstLineChars="200"/>
        <w:jc w:val="left"/>
        <w:rPr>
          <w:rFonts w:ascii="Calibri" w:hAnsi="Calibri" w:eastAsia="宋体" w:cs="Times New Roman"/>
          <w:szCs w:val="20"/>
        </w:rPr>
      </w:pPr>
      <w:r>
        <w:rPr>
          <w:rFonts w:hint="eastAsia" w:ascii="Calibri" w:hAnsi="Calibri" w:eastAsia="宋体" w:cs="Times New Roman"/>
          <w:szCs w:val="20"/>
        </w:rPr>
        <w:t>（2）由同一专业的单位组成的联合体，按照资质等级较低的单位确定资质等级；</w:t>
      </w:r>
    </w:p>
    <w:p>
      <w:pPr>
        <w:autoSpaceDE w:val="0"/>
        <w:autoSpaceDN w:val="0"/>
        <w:adjustRightInd w:val="0"/>
        <w:spacing w:line="380" w:lineRule="exact"/>
        <w:ind w:firstLine="420" w:firstLineChars="200"/>
        <w:jc w:val="left"/>
        <w:rPr>
          <w:rFonts w:ascii="Calibri" w:hAnsi="Calibri" w:eastAsia="宋体" w:cs="Courier New"/>
          <w:kern w:val="0"/>
          <w:sz w:val="24"/>
          <w:szCs w:val="20"/>
        </w:rPr>
      </w:pPr>
      <w:r>
        <w:rPr>
          <w:rFonts w:hint="eastAsia" w:ascii="Calibri" w:hAnsi="Calibri" w:eastAsia="宋体" w:cs="Times New Roman"/>
          <w:szCs w:val="20"/>
        </w:rPr>
        <w:t>（3）联合体各方不得再以自己名义单独或加入其他联合体在同一标段中参加投标</w:t>
      </w:r>
      <w:r>
        <w:rPr>
          <w:rFonts w:hint="eastAsia" w:ascii="Calibri" w:hAnsi="Calibri" w:eastAsia="宋体" w:cs="Courier New"/>
          <w:kern w:val="0"/>
          <w:sz w:val="24"/>
          <w:szCs w:val="20"/>
        </w:rPr>
        <w:t>。</w:t>
      </w:r>
    </w:p>
    <w:p>
      <w:pPr>
        <w:autoSpaceDE w:val="0"/>
        <w:autoSpaceDN w:val="0"/>
        <w:adjustRightInd w:val="0"/>
        <w:spacing w:line="380" w:lineRule="exact"/>
        <w:ind w:firstLine="420" w:firstLineChars="200"/>
        <w:jc w:val="left"/>
        <w:rPr>
          <w:rFonts w:ascii="Calibri" w:hAnsi="Calibri" w:eastAsia="宋体" w:cs="Times New Roman"/>
          <w:szCs w:val="21"/>
        </w:rPr>
      </w:pPr>
      <w:r>
        <w:rPr>
          <w:rFonts w:hint="eastAsia" w:ascii="Calibri" w:hAnsi="Calibri" w:eastAsia="宋体" w:cs="Times New Roman"/>
          <w:szCs w:val="21"/>
        </w:rPr>
        <w:t>1.4.3 投标人不得存在下列情形之一：</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 xml:space="preserve">（1）为招标人的附属机构（单位）； </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（2）为本标段前期准备提供设计或咨询服务的，但两阶段招标的除外；</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 xml:space="preserve">（3）为本标段的监理人； </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 xml:space="preserve">（4）为本标段的代建人； </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 xml:space="preserve">（5）为本标段提供招标代理服务的； </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 xml:space="preserve">（6）与本标段的监理人或代建人或招标代理机构的单位负责人为同一个人的； </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 xml:space="preserve">（7）与本标段的监理人或代建人或招标代理机构相互控股或参股的； </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（8）与本标段的其他申请人的单位负责人为同一个人的；</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（9）与本标段的其他申请人之间存在控股、管理关系或母公司、全资子公司关系的；</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（10）与本标段的其他申请人投标的货物为同一品牌同一型号；</w:t>
      </w:r>
    </w:p>
    <w:p>
      <w:pPr>
        <w:spacing w:line="380" w:lineRule="exact"/>
        <w:ind w:firstLine="420" w:firstLineChars="200"/>
        <w:rPr>
          <w:rFonts w:ascii="Calibri" w:hAnsi="Calibri" w:eastAsia="宋体" w:cs="Calibri"/>
          <w:szCs w:val="21"/>
        </w:rPr>
      </w:pPr>
      <w:r>
        <w:rPr>
          <w:rFonts w:hint="eastAsia" w:ascii="Calibri" w:hAnsi="Calibri" w:eastAsia="宋体" w:cs="Times New Roman"/>
          <w:szCs w:val="21"/>
        </w:rPr>
        <w:t>（11）</w:t>
      </w:r>
      <w:r>
        <w:rPr>
          <w:rFonts w:hint="eastAsia" w:ascii="Calibri" w:hAnsi="Calibri" w:eastAsia="宋体" w:cs="Calibri"/>
          <w:szCs w:val="21"/>
        </w:rPr>
        <w:t>处于被责令停业、财产被接管、冻结和破产状态，以及投标资格被取消或者被暂停且在暂停期内；</w:t>
      </w:r>
    </w:p>
    <w:p>
      <w:pPr>
        <w:spacing w:line="380" w:lineRule="exact"/>
        <w:ind w:firstLine="420" w:firstLineChars="200"/>
        <w:rPr>
          <w:rFonts w:ascii="Calibri" w:hAnsi="Calibri" w:eastAsia="宋体" w:cs="Calibri"/>
          <w:szCs w:val="21"/>
        </w:rPr>
      </w:pPr>
      <w:r>
        <w:rPr>
          <w:rFonts w:hint="eastAsia" w:ascii="Calibri" w:hAnsi="Calibri" w:eastAsia="宋体" w:cs="Times New Roman"/>
          <w:szCs w:val="21"/>
        </w:rPr>
        <w:t>（11）</w:t>
      </w:r>
      <w:r>
        <w:rPr>
          <w:rFonts w:hint="eastAsia" w:ascii="Calibri" w:hAnsi="Calibri" w:eastAsia="宋体" w:cs="Calibri"/>
          <w:szCs w:val="21"/>
        </w:rPr>
        <w:t>因拖欠工人工资或者发生质量安全事故被有关部门限制在招标项目所在地承接工程的；</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（12）法律法规规定的其他情形。</w:t>
      </w:r>
    </w:p>
    <w:p>
      <w:pPr>
        <w:spacing w:line="380" w:lineRule="exact"/>
        <w:outlineLvl w:val="2"/>
        <w:rPr>
          <w:rFonts w:ascii="Calibri" w:hAnsi="Calibri" w:eastAsia="Calibri" w:cs="Times New Roman"/>
          <w:b/>
          <w:bCs/>
          <w:sz w:val="28"/>
          <w:szCs w:val="28"/>
        </w:rPr>
      </w:pPr>
      <w:bookmarkStart w:id="26" w:name="_Toc397975248"/>
      <w:r>
        <w:rPr>
          <w:rFonts w:ascii="Calibri" w:hAnsi="Calibri" w:eastAsia="Calibri" w:cs="Times New Roman"/>
          <w:b/>
          <w:bCs/>
          <w:sz w:val="28"/>
          <w:szCs w:val="28"/>
        </w:rPr>
        <w:t xml:space="preserve">1.5 </w:t>
      </w:r>
      <w:r>
        <w:rPr>
          <w:rFonts w:hint="eastAsia" w:ascii="宋体" w:hAnsi="宋体" w:eastAsia="宋体" w:cs="宋体"/>
          <w:b/>
          <w:bCs/>
          <w:sz w:val="28"/>
          <w:szCs w:val="28"/>
        </w:rPr>
        <w:t>费用承担</w:t>
      </w:r>
      <w:bookmarkEnd w:id="26"/>
      <w:bookmarkStart w:id="27" w:name="_Toc397975249"/>
    </w:p>
    <w:p>
      <w:pPr>
        <w:autoSpaceDE w:val="0"/>
        <w:autoSpaceDN w:val="0"/>
        <w:adjustRightInd w:val="0"/>
        <w:spacing w:line="380" w:lineRule="exact"/>
        <w:ind w:firstLine="420" w:firstLineChars="200"/>
        <w:jc w:val="left"/>
        <w:rPr>
          <w:rFonts w:ascii="Calibri" w:hAnsi="Calibri" w:eastAsia="宋体" w:cs="Times New Roman"/>
          <w:szCs w:val="21"/>
        </w:rPr>
      </w:pPr>
      <w:r>
        <w:rPr>
          <w:rFonts w:hint="eastAsia" w:ascii="宋体" w:hAnsi="宋体" w:eastAsia="宋体" w:cs="宋体"/>
          <w:color w:val="000000"/>
          <w:kern w:val="0"/>
          <w:szCs w:val="21"/>
        </w:rPr>
        <w:t>投标人准备和参加投标活动发生的费用自理。本项目招标代理费（按国家发展计划委员会《计价格【2002】1980号》文标准*60%）、评委费（按实结算）由中标单位支付。</w:t>
      </w:r>
    </w:p>
    <w:p>
      <w:pPr>
        <w:spacing w:line="380" w:lineRule="exact"/>
        <w:outlineLvl w:val="2"/>
        <w:rPr>
          <w:rFonts w:ascii="Calibri" w:hAnsi="Calibri" w:eastAsia="Calibri" w:cs="Times New Roman"/>
          <w:b/>
          <w:bCs/>
          <w:sz w:val="28"/>
          <w:szCs w:val="28"/>
        </w:rPr>
      </w:pPr>
      <w:r>
        <w:rPr>
          <w:rFonts w:ascii="Calibri" w:hAnsi="Calibri" w:eastAsia="Calibri" w:cs="Times New Roman"/>
          <w:b/>
          <w:bCs/>
          <w:sz w:val="28"/>
          <w:szCs w:val="28"/>
        </w:rPr>
        <w:t xml:space="preserve">1.6 </w:t>
      </w:r>
      <w:r>
        <w:rPr>
          <w:rFonts w:hint="eastAsia" w:ascii="宋体" w:hAnsi="宋体" w:eastAsia="宋体" w:cs="宋体"/>
          <w:b/>
          <w:bCs/>
          <w:sz w:val="28"/>
          <w:szCs w:val="28"/>
        </w:rPr>
        <w:t>保密</w:t>
      </w:r>
      <w:bookmarkEnd w:id="27"/>
    </w:p>
    <w:p>
      <w:pPr>
        <w:spacing w:line="380" w:lineRule="exact"/>
        <w:ind w:firstLine="420" w:firstLineChars="200"/>
        <w:rPr>
          <w:rFonts w:ascii="Calibri" w:hAnsi="Calibri" w:eastAsia="宋体" w:cs="Times New Roman"/>
          <w:szCs w:val="21"/>
        </w:rPr>
      </w:pPr>
      <w:r>
        <w:rPr>
          <w:rFonts w:ascii="Calibri" w:hAnsi="Calibri" w:eastAsia="宋体" w:cs="Times New Roman"/>
          <w:szCs w:val="21"/>
        </w:rPr>
        <w:t>参与招标投标活动的各方应对招标文件和投标文件中的商业和技术等秘密保密，违者应对由此造成的后果承担法律责任。</w:t>
      </w:r>
    </w:p>
    <w:p>
      <w:pPr>
        <w:spacing w:line="380" w:lineRule="exact"/>
        <w:outlineLvl w:val="2"/>
        <w:rPr>
          <w:rFonts w:ascii="Calibri" w:hAnsi="Calibri" w:eastAsia="Calibri" w:cs="Times New Roman"/>
          <w:b/>
          <w:bCs/>
          <w:sz w:val="28"/>
          <w:szCs w:val="28"/>
        </w:rPr>
      </w:pPr>
      <w:bookmarkStart w:id="28" w:name="_Toc397975250"/>
      <w:r>
        <w:rPr>
          <w:rFonts w:ascii="Calibri" w:hAnsi="Calibri" w:eastAsia="Calibri" w:cs="Times New Roman"/>
          <w:b/>
          <w:bCs/>
          <w:sz w:val="28"/>
          <w:szCs w:val="28"/>
        </w:rPr>
        <w:t xml:space="preserve">1.7 </w:t>
      </w:r>
      <w:r>
        <w:rPr>
          <w:rFonts w:hint="eastAsia" w:ascii="宋体" w:hAnsi="宋体" w:eastAsia="宋体" w:cs="宋体"/>
          <w:b/>
          <w:bCs/>
          <w:sz w:val="28"/>
          <w:szCs w:val="28"/>
        </w:rPr>
        <w:t>语言文字</w:t>
      </w:r>
      <w:bookmarkEnd w:id="28"/>
    </w:p>
    <w:p>
      <w:pPr>
        <w:spacing w:line="380" w:lineRule="exact"/>
        <w:ind w:firstLine="420" w:firstLineChars="200"/>
        <w:rPr>
          <w:rFonts w:ascii="Calibri" w:hAnsi="Calibri" w:eastAsia="宋体" w:cs="Times New Roman"/>
          <w:szCs w:val="21"/>
        </w:rPr>
      </w:pPr>
      <w:r>
        <w:rPr>
          <w:rFonts w:ascii="Calibri" w:hAnsi="Calibri" w:eastAsia="宋体" w:cs="Times New Roman"/>
          <w:szCs w:val="21"/>
        </w:rPr>
        <w:t>除专用术语外，与招标投标有关的语言均使用中文。必要时专用术语应附有中文注释。</w:t>
      </w:r>
    </w:p>
    <w:p>
      <w:pPr>
        <w:spacing w:line="380" w:lineRule="exact"/>
        <w:outlineLvl w:val="2"/>
        <w:rPr>
          <w:rFonts w:ascii="Calibri" w:hAnsi="Calibri" w:eastAsia="Calibri" w:cs="Times New Roman"/>
          <w:b/>
          <w:bCs/>
          <w:sz w:val="28"/>
          <w:szCs w:val="28"/>
        </w:rPr>
      </w:pPr>
      <w:bookmarkStart w:id="29" w:name="_Toc397975251"/>
      <w:r>
        <w:rPr>
          <w:rFonts w:ascii="Calibri" w:hAnsi="Calibri" w:eastAsia="Calibri" w:cs="Times New Roman"/>
          <w:b/>
          <w:bCs/>
          <w:sz w:val="28"/>
          <w:szCs w:val="28"/>
        </w:rPr>
        <w:t xml:space="preserve">1.8 </w:t>
      </w:r>
      <w:r>
        <w:rPr>
          <w:rFonts w:hint="eastAsia" w:ascii="宋体" w:hAnsi="宋体" w:eastAsia="宋体" w:cs="宋体"/>
          <w:b/>
          <w:bCs/>
          <w:sz w:val="28"/>
          <w:szCs w:val="28"/>
        </w:rPr>
        <w:t>计量单位</w:t>
      </w:r>
      <w:bookmarkEnd w:id="29"/>
    </w:p>
    <w:p>
      <w:pPr>
        <w:spacing w:line="380" w:lineRule="exact"/>
        <w:ind w:firstLine="420" w:firstLineChars="200"/>
        <w:rPr>
          <w:rFonts w:ascii="Calibri" w:hAnsi="Calibri" w:eastAsia="宋体" w:cs="Times New Roman"/>
          <w:szCs w:val="21"/>
        </w:rPr>
      </w:pPr>
      <w:r>
        <w:rPr>
          <w:rFonts w:ascii="Calibri" w:hAnsi="Calibri" w:eastAsia="宋体" w:cs="Times New Roman"/>
          <w:szCs w:val="21"/>
        </w:rPr>
        <w:t>所有计量均采用中华人民共和国法定计量单位。</w:t>
      </w:r>
    </w:p>
    <w:p>
      <w:pPr>
        <w:spacing w:line="380" w:lineRule="exact"/>
        <w:outlineLvl w:val="2"/>
        <w:rPr>
          <w:rFonts w:ascii="Calibri" w:hAnsi="Calibri" w:eastAsia="Calibri" w:cs="Times New Roman"/>
          <w:b/>
          <w:bCs/>
          <w:sz w:val="28"/>
          <w:szCs w:val="28"/>
        </w:rPr>
      </w:pPr>
      <w:bookmarkStart w:id="30" w:name="_Toc397975252"/>
      <w:r>
        <w:rPr>
          <w:rFonts w:ascii="Calibri" w:hAnsi="Calibri" w:eastAsia="Calibri" w:cs="Times New Roman"/>
          <w:b/>
          <w:bCs/>
          <w:sz w:val="28"/>
          <w:szCs w:val="28"/>
        </w:rPr>
        <w:t xml:space="preserve">1.9 </w:t>
      </w:r>
      <w:r>
        <w:rPr>
          <w:rFonts w:hint="eastAsia" w:ascii="宋体" w:hAnsi="宋体" w:eastAsia="宋体" w:cs="宋体"/>
          <w:b/>
          <w:bCs/>
          <w:sz w:val="28"/>
          <w:szCs w:val="28"/>
        </w:rPr>
        <w:t>踏勘现场</w:t>
      </w:r>
      <w:bookmarkEnd w:id="30"/>
    </w:p>
    <w:p>
      <w:pPr>
        <w:autoSpaceDE w:val="0"/>
        <w:autoSpaceDN w:val="0"/>
        <w:adjustRightInd w:val="0"/>
        <w:spacing w:line="380" w:lineRule="exact"/>
        <w:ind w:firstLine="420" w:firstLineChars="200"/>
        <w:jc w:val="left"/>
        <w:rPr>
          <w:rFonts w:ascii="Calibri" w:hAnsi="Calibri" w:eastAsia="宋体" w:cs="Calibri"/>
          <w:kern w:val="0"/>
          <w:szCs w:val="21"/>
        </w:rPr>
      </w:pPr>
      <w:r>
        <w:rPr>
          <w:rFonts w:hint="eastAsia" w:ascii="Calibri" w:hAnsi="Calibri" w:eastAsia="宋体" w:cs="Calibri"/>
          <w:kern w:val="0"/>
          <w:szCs w:val="21"/>
        </w:rPr>
        <w:t>1.9.1招标人不组织投标人踏勘现场，投标人可以自行对工程施工现场和周围环境进行勘察，以获取编制投标文件和签署合同所需的所有资料。</w:t>
      </w:r>
    </w:p>
    <w:p>
      <w:pPr>
        <w:autoSpaceDE w:val="0"/>
        <w:autoSpaceDN w:val="0"/>
        <w:adjustRightInd w:val="0"/>
        <w:spacing w:line="380" w:lineRule="exact"/>
        <w:ind w:firstLine="420" w:firstLineChars="200"/>
        <w:jc w:val="left"/>
        <w:rPr>
          <w:rFonts w:ascii="Calibri" w:hAnsi="Calibri" w:eastAsia="宋体" w:cs="Calibri"/>
          <w:kern w:val="0"/>
          <w:szCs w:val="21"/>
        </w:rPr>
      </w:pPr>
      <w:r>
        <w:rPr>
          <w:rFonts w:hint="eastAsia" w:ascii="Calibri" w:hAnsi="Calibri" w:eastAsia="宋体" w:cs="Calibri"/>
          <w:kern w:val="0"/>
          <w:szCs w:val="21"/>
        </w:rPr>
        <w:t>1.9.2 投标人踏勘现场发生的费用自理。</w:t>
      </w:r>
    </w:p>
    <w:p>
      <w:pPr>
        <w:autoSpaceDE w:val="0"/>
        <w:autoSpaceDN w:val="0"/>
        <w:adjustRightInd w:val="0"/>
        <w:spacing w:line="380" w:lineRule="exact"/>
        <w:ind w:firstLine="388" w:firstLineChars="200"/>
        <w:jc w:val="left"/>
        <w:rPr>
          <w:rFonts w:ascii="Calibri" w:hAnsi="Calibri" w:eastAsia="宋体" w:cs="Calibri"/>
          <w:spacing w:val="-8"/>
          <w:kern w:val="0"/>
          <w:szCs w:val="21"/>
        </w:rPr>
      </w:pPr>
      <w:r>
        <w:rPr>
          <w:rFonts w:hint="eastAsia" w:ascii="Calibri" w:hAnsi="Calibri" w:eastAsia="宋体" w:cs="Calibri"/>
          <w:spacing w:val="-8"/>
          <w:kern w:val="0"/>
          <w:szCs w:val="21"/>
        </w:rPr>
        <w:t>1.</w:t>
      </w:r>
      <w:r>
        <w:rPr>
          <w:rFonts w:hint="eastAsia" w:ascii="Calibri" w:hAnsi="Calibri" w:eastAsia="宋体" w:cs="Calibri"/>
          <w:kern w:val="0"/>
          <w:szCs w:val="21"/>
        </w:rPr>
        <w:t>9.3 投标人自行负责在踏勘现场中所发生的人员伤亡和财产损失。</w:t>
      </w:r>
    </w:p>
    <w:p>
      <w:pPr>
        <w:autoSpaceDE w:val="0"/>
        <w:autoSpaceDN w:val="0"/>
        <w:adjustRightInd w:val="0"/>
        <w:spacing w:line="380" w:lineRule="exact"/>
        <w:ind w:firstLine="420" w:firstLineChars="200"/>
        <w:jc w:val="left"/>
        <w:rPr>
          <w:rFonts w:ascii="Calibri" w:hAnsi="Calibri" w:eastAsia="宋体" w:cs="Calibri"/>
          <w:kern w:val="0"/>
          <w:szCs w:val="21"/>
        </w:rPr>
      </w:pPr>
      <w:r>
        <w:rPr>
          <w:rFonts w:hint="eastAsia" w:ascii="Calibri" w:hAnsi="Calibri" w:eastAsia="宋体" w:cs="Calibri"/>
          <w:kern w:val="0"/>
          <w:szCs w:val="21"/>
        </w:rPr>
        <w:t>1.9.4 招标人向投标人提供的有关施工现场的资料和数据是招标人现有的能使投标人利用的资料。招标人对投标人由此而做出的推论、理解和结论概不负责。</w:t>
      </w:r>
      <w:bookmarkStart w:id="31" w:name="_Toc397975253"/>
    </w:p>
    <w:p>
      <w:pPr>
        <w:spacing w:line="380" w:lineRule="exact"/>
        <w:outlineLvl w:val="2"/>
        <w:rPr>
          <w:rFonts w:ascii="Calibri" w:hAnsi="Calibri" w:eastAsia="Calibri" w:cs="Times New Roman"/>
          <w:b/>
          <w:bCs/>
          <w:sz w:val="28"/>
          <w:szCs w:val="28"/>
        </w:rPr>
      </w:pPr>
      <w:r>
        <w:rPr>
          <w:rFonts w:hint="eastAsia" w:ascii="Calibri" w:hAnsi="Calibri" w:eastAsia="Calibri" w:cs="Times New Roman"/>
          <w:b/>
          <w:bCs/>
          <w:sz w:val="28"/>
          <w:szCs w:val="28"/>
        </w:rPr>
        <w:t xml:space="preserve">1.10 </w:t>
      </w:r>
      <w:r>
        <w:rPr>
          <w:rFonts w:hint="eastAsia" w:ascii="宋体" w:hAnsi="宋体" w:eastAsia="宋体" w:cs="宋体"/>
          <w:b/>
          <w:bCs/>
          <w:sz w:val="28"/>
          <w:szCs w:val="28"/>
        </w:rPr>
        <w:t>投标预备会</w:t>
      </w:r>
      <w:bookmarkEnd w:id="31"/>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1.10.1 召开投标预备会：见投标人须知前附表。</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1.10.2招标人在投标人须知前附表规定的时间内，将对投标人所提问题的澄清。该澄清内容为招标文件的组成部分。</w:t>
      </w:r>
    </w:p>
    <w:p>
      <w:pPr>
        <w:spacing w:line="380" w:lineRule="exact"/>
        <w:outlineLvl w:val="2"/>
        <w:rPr>
          <w:rFonts w:ascii="Calibri" w:hAnsi="Calibri" w:eastAsia="Calibri" w:cs="Times New Roman"/>
          <w:b/>
          <w:bCs/>
          <w:sz w:val="28"/>
          <w:szCs w:val="28"/>
        </w:rPr>
      </w:pPr>
      <w:bookmarkStart w:id="32" w:name="_Toc366679673"/>
      <w:bookmarkStart w:id="33" w:name="_Toc397975254"/>
      <w:bookmarkStart w:id="34" w:name="_Toc363329371"/>
      <w:bookmarkStart w:id="35" w:name="_Toc367894799"/>
      <w:r>
        <w:rPr>
          <w:rFonts w:ascii="Calibri" w:hAnsi="Calibri" w:eastAsia="Calibri" w:cs="Times New Roman"/>
          <w:b/>
          <w:bCs/>
          <w:sz w:val="28"/>
          <w:szCs w:val="28"/>
        </w:rPr>
        <w:t xml:space="preserve">1.11 </w:t>
      </w:r>
      <w:r>
        <w:rPr>
          <w:rFonts w:hint="eastAsia" w:ascii="宋体" w:hAnsi="宋体" w:eastAsia="宋体" w:cs="宋体"/>
          <w:b/>
          <w:bCs/>
          <w:sz w:val="28"/>
          <w:szCs w:val="28"/>
        </w:rPr>
        <w:t>偏离</w:t>
      </w:r>
      <w:bookmarkEnd w:id="32"/>
      <w:bookmarkEnd w:id="33"/>
    </w:p>
    <w:p>
      <w:pPr>
        <w:spacing w:line="380" w:lineRule="exact"/>
        <w:ind w:firstLine="420" w:firstLineChars="200"/>
        <w:rPr>
          <w:rFonts w:ascii="Calibri" w:hAnsi="Calibri" w:eastAsia="宋体" w:cs="Times New Roman"/>
          <w:szCs w:val="21"/>
        </w:rPr>
      </w:pPr>
      <w:r>
        <w:rPr>
          <w:rFonts w:ascii="Calibri" w:hAnsi="Calibri" w:eastAsia="宋体" w:cs="Times New Roman"/>
          <w:szCs w:val="21"/>
        </w:rPr>
        <w:t>投标人须知前附表允许投标文件偏离招标文件某些要求的，偏离应当符合招标文件规定的偏离范围和幅度。</w:t>
      </w:r>
    </w:p>
    <w:p>
      <w:pPr>
        <w:spacing w:line="380" w:lineRule="exact"/>
        <w:jc w:val="left"/>
        <w:outlineLvl w:val="1"/>
        <w:rPr>
          <w:rFonts w:ascii="Calibri" w:hAnsi="Calibri" w:eastAsia="Calibri" w:cs="Times New Roman"/>
          <w:b/>
          <w:kern w:val="0"/>
          <w:sz w:val="28"/>
          <w:szCs w:val="28"/>
        </w:rPr>
      </w:pPr>
      <w:bookmarkStart w:id="36" w:name="_Toc368759376"/>
      <w:bookmarkStart w:id="37" w:name="_Toc368760428"/>
      <w:bookmarkStart w:id="38" w:name="_Toc397975255"/>
      <w:bookmarkStart w:id="39" w:name="_Toc369077562"/>
      <w:r>
        <w:rPr>
          <w:rFonts w:hint="eastAsia" w:ascii="Calibri" w:hAnsi="Calibri" w:eastAsia="宋体" w:cs="Times New Roman"/>
          <w:b/>
          <w:kern w:val="0"/>
          <w:sz w:val="28"/>
          <w:szCs w:val="28"/>
        </w:rPr>
        <w:t>2</w:t>
      </w:r>
      <w:r>
        <w:rPr>
          <w:rFonts w:ascii="Calibri" w:hAnsi="Calibri" w:eastAsia="Calibri" w:cs="Times New Roman"/>
          <w:b/>
          <w:kern w:val="0"/>
          <w:sz w:val="28"/>
          <w:szCs w:val="28"/>
        </w:rPr>
        <w:t>.</w:t>
      </w:r>
      <w:r>
        <w:rPr>
          <w:rFonts w:hint="eastAsia" w:ascii="Calibri" w:hAnsi="Calibri" w:eastAsia="Calibri" w:cs="Times New Roman"/>
          <w:b/>
          <w:kern w:val="0"/>
          <w:sz w:val="28"/>
          <w:szCs w:val="28"/>
        </w:rPr>
        <w:t xml:space="preserve"> </w:t>
      </w:r>
      <w:r>
        <w:rPr>
          <w:rFonts w:hint="eastAsia" w:ascii="宋体" w:hAnsi="宋体" w:eastAsia="宋体" w:cs="宋体"/>
          <w:b/>
          <w:kern w:val="0"/>
          <w:sz w:val="28"/>
          <w:szCs w:val="28"/>
        </w:rPr>
        <w:t>招标文件</w:t>
      </w:r>
      <w:bookmarkEnd w:id="34"/>
      <w:bookmarkEnd w:id="35"/>
      <w:bookmarkEnd w:id="36"/>
      <w:bookmarkEnd w:id="37"/>
      <w:bookmarkEnd w:id="38"/>
      <w:bookmarkEnd w:id="39"/>
    </w:p>
    <w:p>
      <w:pPr>
        <w:spacing w:line="380" w:lineRule="exact"/>
        <w:outlineLvl w:val="2"/>
        <w:rPr>
          <w:rFonts w:ascii="Calibri" w:hAnsi="Calibri" w:eastAsia="Calibri" w:cs="Times New Roman"/>
          <w:b/>
          <w:bCs/>
          <w:sz w:val="28"/>
          <w:szCs w:val="28"/>
        </w:rPr>
      </w:pPr>
      <w:bookmarkStart w:id="40" w:name="_Toc397975256"/>
      <w:r>
        <w:rPr>
          <w:rFonts w:hint="eastAsia" w:ascii="Calibri" w:hAnsi="Calibri" w:eastAsia="宋体" w:cs="Times New Roman"/>
          <w:b/>
          <w:bCs/>
          <w:sz w:val="28"/>
          <w:szCs w:val="28"/>
        </w:rPr>
        <w:t>2</w:t>
      </w:r>
      <w:r>
        <w:rPr>
          <w:rFonts w:ascii="Calibri" w:hAnsi="Calibri" w:eastAsia="Calibri" w:cs="Times New Roman"/>
          <w:b/>
          <w:bCs/>
          <w:sz w:val="28"/>
          <w:szCs w:val="28"/>
        </w:rPr>
        <w:t>.1</w:t>
      </w:r>
      <w:r>
        <w:rPr>
          <w:rFonts w:hint="eastAsia" w:ascii="Calibri" w:hAnsi="Calibri" w:eastAsia="Calibri" w:cs="Times New Roman"/>
          <w:b/>
          <w:bCs/>
          <w:sz w:val="28"/>
          <w:szCs w:val="28"/>
        </w:rPr>
        <w:t xml:space="preserve"> </w:t>
      </w:r>
      <w:r>
        <w:rPr>
          <w:rFonts w:hint="eastAsia" w:ascii="宋体" w:hAnsi="宋体" w:eastAsia="宋体" w:cs="宋体"/>
          <w:b/>
          <w:bCs/>
          <w:sz w:val="28"/>
          <w:szCs w:val="28"/>
        </w:rPr>
        <w:t>招标文件组成</w:t>
      </w:r>
      <w:bookmarkEnd w:id="40"/>
    </w:p>
    <w:p>
      <w:pPr>
        <w:shd w:val="clear" w:color="auto" w:fill="FFFFFF"/>
        <w:autoSpaceDE w:val="0"/>
        <w:autoSpaceDN w:val="0"/>
        <w:adjustRightInd w:val="0"/>
        <w:spacing w:line="380" w:lineRule="exact"/>
        <w:ind w:firstLine="420" w:firstLineChars="200"/>
        <w:jc w:val="left"/>
        <w:rPr>
          <w:rFonts w:ascii="Calibri" w:hAnsi="Calibri" w:eastAsia="宋体" w:cs="Times New Roman"/>
          <w:szCs w:val="21"/>
        </w:rPr>
      </w:pPr>
      <w:r>
        <w:rPr>
          <w:rFonts w:hint="eastAsia" w:ascii="Calibri" w:hAnsi="Calibri" w:eastAsia="宋体" w:cs="Times New Roman"/>
          <w:szCs w:val="21"/>
        </w:rPr>
        <w:t>3</w:t>
      </w:r>
      <w:r>
        <w:rPr>
          <w:rFonts w:ascii="Calibri" w:hAnsi="Calibri" w:eastAsia="宋体" w:cs="Times New Roman"/>
          <w:szCs w:val="21"/>
        </w:rPr>
        <w:t>.1.1 本招标文件包括：</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（1）招标公告；</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（2）</w:t>
      </w:r>
      <w:r>
        <w:rPr>
          <w:rFonts w:ascii="Calibri" w:hAnsi="Calibri" w:eastAsia="宋体" w:cs="Times New Roman"/>
          <w:szCs w:val="21"/>
        </w:rPr>
        <w:t>投标人须知；</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（3）</w:t>
      </w:r>
      <w:r>
        <w:rPr>
          <w:rFonts w:ascii="Calibri" w:hAnsi="Calibri" w:eastAsia="宋体" w:cs="Times New Roman"/>
          <w:szCs w:val="21"/>
        </w:rPr>
        <w:t>评标办法；</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（4）</w:t>
      </w:r>
      <w:r>
        <w:rPr>
          <w:rFonts w:ascii="Calibri" w:hAnsi="Calibri" w:eastAsia="宋体" w:cs="Times New Roman"/>
          <w:szCs w:val="21"/>
        </w:rPr>
        <w:t xml:space="preserve">合同条款及格式； </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（5）项目</w:t>
      </w:r>
      <w:r>
        <w:rPr>
          <w:rFonts w:ascii="Calibri" w:hAnsi="Calibri" w:eastAsia="宋体" w:cs="Times New Roman"/>
          <w:szCs w:val="21"/>
        </w:rPr>
        <w:t>需求；</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（6）</w:t>
      </w:r>
      <w:r>
        <w:rPr>
          <w:rFonts w:ascii="Calibri" w:hAnsi="Calibri" w:eastAsia="宋体" w:cs="Times New Roman"/>
          <w:szCs w:val="21"/>
        </w:rPr>
        <w:t>投标文件格式；</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3.1.2 根据本章第1.10款、第2.2款和第2.3款对招标文件所作的澄清、修改，构成招标文件的组成部分。当招标文件相互之间发生矛盾时，以后发出的文件为准。</w:t>
      </w:r>
      <w:bookmarkStart w:id="41" w:name="_Toc397975257"/>
      <w:bookmarkStart w:id="42" w:name="_Toc152042320"/>
      <w:bookmarkStart w:id="43" w:name="_Toc246996932"/>
      <w:bookmarkStart w:id="44" w:name="_Toc179632562"/>
      <w:bookmarkStart w:id="45" w:name="_Toc152045544"/>
      <w:bookmarkStart w:id="46" w:name="_Toc366679676"/>
      <w:bookmarkStart w:id="47" w:name="_Toc246996189"/>
      <w:bookmarkStart w:id="48" w:name="_Toc144974512"/>
      <w:bookmarkStart w:id="49" w:name="_Toc247085703"/>
    </w:p>
    <w:p>
      <w:pPr>
        <w:spacing w:line="380" w:lineRule="exact"/>
        <w:outlineLvl w:val="2"/>
        <w:rPr>
          <w:rFonts w:ascii="Calibri" w:hAnsi="Calibri" w:eastAsia="Calibri" w:cs="Times New Roman"/>
          <w:b/>
          <w:bCs/>
          <w:sz w:val="28"/>
          <w:szCs w:val="28"/>
        </w:rPr>
      </w:pPr>
      <w:r>
        <w:rPr>
          <w:rFonts w:hint="eastAsia" w:ascii="Calibri" w:hAnsi="Calibri" w:eastAsia="宋体" w:cs="Times New Roman"/>
          <w:b/>
          <w:bCs/>
          <w:sz w:val="28"/>
          <w:szCs w:val="28"/>
        </w:rPr>
        <w:t>2</w:t>
      </w:r>
      <w:r>
        <w:rPr>
          <w:rFonts w:ascii="Calibri" w:hAnsi="Calibri" w:eastAsia="Calibri" w:cs="Times New Roman"/>
          <w:b/>
          <w:bCs/>
          <w:sz w:val="28"/>
          <w:szCs w:val="28"/>
        </w:rPr>
        <w:t xml:space="preserve">.2 </w:t>
      </w:r>
      <w:r>
        <w:rPr>
          <w:rFonts w:hint="eastAsia" w:ascii="宋体" w:hAnsi="宋体" w:eastAsia="宋体" w:cs="宋体"/>
          <w:b/>
          <w:bCs/>
          <w:sz w:val="28"/>
          <w:szCs w:val="28"/>
        </w:rPr>
        <w:t>招标文件的澄清</w:t>
      </w:r>
      <w:bookmarkEnd w:id="41"/>
      <w:bookmarkEnd w:id="42"/>
      <w:bookmarkEnd w:id="43"/>
      <w:bookmarkEnd w:id="44"/>
      <w:bookmarkEnd w:id="45"/>
      <w:bookmarkEnd w:id="46"/>
      <w:bookmarkEnd w:id="47"/>
      <w:bookmarkEnd w:id="48"/>
      <w:bookmarkEnd w:id="49"/>
      <w:r>
        <w:rPr>
          <w:rFonts w:ascii="Calibri" w:hAnsi="Calibri" w:eastAsia="Calibri" w:cs="Times New Roman"/>
          <w:b/>
          <w:bCs/>
          <w:sz w:val="28"/>
          <w:szCs w:val="28"/>
        </w:rPr>
        <w:t xml:space="preserve"> </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2.2.1投标人应仔细阅读和检查招标文件的全部内容。</w:t>
      </w:r>
      <w:r>
        <w:rPr>
          <w:rFonts w:hint="eastAsia" w:ascii="Calibri" w:hAnsi="Calibri" w:eastAsia="宋体" w:cs="Calibri"/>
          <w:szCs w:val="21"/>
        </w:rPr>
        <w:t>投标人如有疑问，应在投标人须知前附表规定的时间，</w:t>
      </w:r>
      <w:r>
        <w:rPr>
          <w:rFonts w:hint="eastAsia" w:ascii="Calibri" w:hAnsi="Calibri" w:eastAsia="宋体" w:cs="Times New Roman"/>
          <w:szCs w:val="21"/>
        </w:rPr>
        <w:t>要求招标人对招标文件予以澄清。投标人不在澄清期限内提出，招标人有权不予答复。</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2.2.2招标文件的澄清将在投标人须知前附表规定时间前通过“电子招标投标交易平台”发给所有投标人，但招标人不指明澄清问题的来源，招标人不再另行通知。</w:t>
      </w:r>
    </w:p>
    <w:p>
      <w:pPr>
        <w:spacing w:line="380" w:lineRule="exact"/>
        <w:ind w:firstLine="420" w:firstLineChars="200"/>
        <w:rPr>
          <w:rFonts w:ascii="Calibri" w:hAnsi="Calibri" w:eastAsia="宋体" w:cs="Calibri"/>
          <w:szCs w:val="21"/>
        </w:rPr>
      </w:pPr>
      <w:r>
        <w:rPr>
          <w:rFonts w:hint="eastAsia" w:ascii="Calibri" w:hAnsi="Calibri" w:eastAsia="宋体" w:cs="Times New Roman"/>
          <w:szCs w:val="21"/>
        </w:rPr>
        <w:t>2.2.3澄清文件按本章第2.2.2款规定发出之时起，视为投标人已收到该澄清文件。投标人未及时通过“电子招标投标交易平台”查阅招标文件的澄</w:t>
      </w:r>
      <w:r>
        <w:rPr>
          <w:rFonts w:hint="eastAsia" w:ascii="Calibri" w:hAnsi="Calibri" w:eastAsia="宋体" w:cs="Calibri"/>
          <w:szCs w:val="21"/>
        </w:rPr>
        <w:t>清，或未按照澄清后的招标文件编制投标文件，由此造成的后果由投标人自行承担。</w:t>
      </w:r>
    </w:p>
    <w:p>
      <w:pPr>
        <w:spacing w:line="380" w:lineRule="exact"/>
        <w:outlineLvl w:val="2"/>
        <w:rPr>
          <w:rFonts w:ascii="Calibri" w:hAnsi="Calibri" w:eastAsia="Calibri" w:cs="Times New Roman"/>
          <w:b/>
          <w:bCs/>
          <w:sz w:val="28"/>
          <w:szCs w:val="28"/>
        </w:rPr>
      </w:pPr>
      <w:bookmarkStart w:id="50" w:name="_Toc179632563"/>
      <w:bookmarkStart w:id="51" w:name="_Toc246996190"/>
      <w:bookmarkStart w:id="52" w:name="_Toc397975258"/>
      <w:bookmarkStart w:id="53" w:name="_Toc247085704"/>
      <w:bookmarkStart w:id="54" w:name="_Toc366679677"/>
      <w:bookmarkStart w:id="55" w:name="_Toc246996933"/>
      <w:r>
        <w:rPr>
          <w:rFonts w:hint="eastAsia" w:ascii="Calibri" w:hAnsi="Calibri" w:eastAsia="宋体" w:cs="Times New Roman"/>
          <w:b/>
          <w:bCs/>
          <w:sz w:val="28"/>
          <w:szCs w:val="28"/>
        </w:rPr>
        <w:t>2</w:t>
      </w:r>
      <w:r>
        <w:rPr>
          <w:rFonts w:ascii="Calibri" w:hAnsi="Calibri" w:eastAsia="Calibri" w:cs="Times New Roman"/>
          <w:b/>
          <w:bCs/>
          <w:sz w:val="28"/>
          <w:szCs w:val="28"/>
        </w:rPr>
        <w:t xml:space="preserve">.3 </w:t>
      </w:r>
      <w:r>
        <w:rPr>
          <w:rFonts w:hint="eastAsia" w:ascii="宋体" w:hAnsi="宋体" w:eastAsia="宋体" w:cs="宋体"/>
          <w:b/>
          <w:bCs/>
          <w:sz w:val="28"/>
          <w:szCs w:val="28"/>
        </w:rPr>
        <w:t>招标文件的修改</w:t>
      </w:r>
      <w:bookmarkEnd w:id="50"/>
      <w:bookmarkEnd w:id="51"/>
      <w:bookmarkEnd w:id="52"/>
      <w:bookmarkEnd w:id="53"/>
      <w:bookmarkEnd w:id="54"/>
      <w:bookmarkEnd w:id="55"/>
    </w:p>
    <w:p>
      <w:pPr>
        <w:shd w:val="clear" w:color="auto" w:fill="FFFFFF"/>
        <w:autoSpaceDE w:val="0"/>
        <w:autoSpaceDN w:val="0"/>
        <w:adjustRightInd w:val="0"/>
        <w:spacing w:line="380" w:lineRule="exact"/>
        <w:ind w:firstLine="420" w:firstLineChars="200"/>
        <w:jc w:val="left"/>
        <w:rPr>
          <w:rFonts w:ascii="Calibri" w:hAnsi="Calibri" w:eastAsia="宋体" w:cs="Times New Roman"/>
          <w:szCs w:val="21"/>
        </w:rPr>
      </w:pPr>
      <w:r>
        <w:rPr>
          <w:rFonts w:hint="eastAsia" w:ascii="Calibri" w:hAnsi="Calibri" w:eastAsia="宋体" w:cs="Times New Roman"/>
          <w:szCs w:val="21"/>
        </w:rPr>
        <w:t xml:space="preserve">2.3.1 </w:t>
      </w:r>
      <w:r>
        <w:rPr>
          <w:rFonts w:hint="eastAsia" w:ascii="Calibri" w:hAnsi="Calibri" w:eastAsia="宋体" w:cs="Calibri"/>
          <w:szCs w:val="21"/>
        </w:rPr>
        <w:t>招标文件发布后，招标人确需对招标文件进行修改的，招标人将</w:t>
      </w:r>
      <w:r>
        <w:rPr>
          <w:rFonts w:hint="eastAsia" w:ascii="Calibri" w:hAnsi="Calibri" w:eastAsia="宋体" w:cs="Calibri"/>
          <w:kern w:val="0"/>
          <w:szCs w:val="21"/>
        </w:rPr>
        <w:t>通过</w:t>
      </w:r>
      <w:r>
        <w:rPr>
          <w:rFonts w:hint="eastAsia" w:ascii="Calibri" w:hAnsi="Calibri" w:eastAsia="宋体" w:cs="Calibri"/>
          <w:szCs w:val="21"/>
        </w:rPr>
        <w:t>“电子招标投标交易平台”发给所有投标人。</w:t>
      </w:r>
    </w:p>
    <w:p>
      <w:pPr>
        <w:shd w:val="clear" w:color="auto" w:fill="FFFFFF"/>
        <w:autoSpaceDE w:val="0"/>
        <w:autoSpaceDN w:val="0"/>
        <w:adjustRightInd w:val="0"/>
        <w:spacing w:line="380" w:lineRule="exact"/>
        <w:ind w:firstLine="420" w:firstLineChars="200"/>
        <w:jc w:val="left"/>
        <w:rPr>
          <w:rFonts w:ascii="Calibri" w:hAnsi="Calibri" w:eastAsia="宋体" w:cs="Calibri"/>
          <w:szCs w:val="21"/>
        </w:rPr>
      </w:pPr>
      <w:r>
        <w:rPr>
          <w:rFonts w:hint="eastAsia" w:ascii="Calibri" w:hAnsi="Calibri" w:eastAsia="宋体" w:cs="Times New Roman"/>
          <w:szCs w:val="21"/>
        </w:rPr>
        <w:t>2.3.2</w:t>
      </w:r>
      <w:bookmarkStart w:id="56" w:name="_Toc368760429"/>
      <w:bookmarkStart w:id="57" w:name="_Toc369077563"/>
      <w:bookmarkStart w:id="58" w:name="_Toc368759377"/>
      <w:bookmarkStart w:id="59" w:name="_Toc363329372"/>
      <w:bookmarkStart w:id="60" w:name="_Toc397975259"/>
      <w:bookmarkStart w:id="61" w:name="_Toc367894800"/>
      <w:bookmarkStart w:id="62" w:name="_Toc119718089"/>
      <w:r>
        <w:rPr>
          <w:rFonts w:hint="eastAsia" w:ascii="Calibri" w:hAnsi="Calibri" w:eastAsia="宋体" w:cs="Times New Roman"/>
          <w:szCs w:val="21"/>
        </w:rPr>
        <w:t xml:space="preserve"> </w:t>
      </w:r>
      <w:r>
        <w:rPr>
          <w:rFonts w:hint="eastAsia" w:ascii="Calibri" w:hAnsi="Calibri" w:eastAsia="宋体" w:cs="Calibri"/>
          <w:szCs w:val="21"/>
        </w:rPr>
        <w:t>修改文件按本章第2.3.1款规定发出之时起，视为投标人已收到该修改文件。投标人未及时通过“电子招标投标交易平台”查阅招标文件的修改，或未按照修改后的招标文件编制投标文件，由此造成的后果由投标人自行承担。</w:t>
      </w:r>
    </w:p>
    <w:p>
      <w:pPr>
        <w:shd w:val="clear" w:color="auto" w:fill="FFFFFF"/>
        <w:autoSpaceDE w:val="0"/>
        <w:autoSpaceDN w:val="0"/>
        <w:adjustRightInd w:val="0"/>
        <w:spacing w:line="380" w:lineRule="exact"/>
        <w:jc w:val="left"/>
        <w:rPr>
          <w:rFonts w:ascii="Calibri" w:hAnsi="Calibri" w:eastAsia="宋体" w:cs="Times New Roman"/>
          <w:b/>
          <w:sz w:val="28"/>
          <w:szCs w:val="28"/>
        </w:rPr>
      </w:pPr>
      <w:r>
        <w:rPr>
          <w:rFonts w:hint="eastAsia" w:ascii="Calibri" w:hAnsi="Calibri" w:eastAsia="宋体" w:cs="Times New Roman"/>
          <w:b/>
          <w:sz w:val="28"/>
          <w:szCs w:val="28"/>
        </w:rPr>
        <w:t>3</w:t>
      </w:r>
      <w:r>
        <w:rPr>
          <w:rFonts w:ascii="Calibri" w:hAnsi="Calibri" w:eastAsia="宋体" w:cs="Times New Roman"/>
          <w:b/>
          <w:sz w:val="28"/>
          <w:szCs w:val="28"/>
        </w:rPr>
        <w:t>.</w:t>
      </w:r>
      <w:r>
        <w:rPr>
          <w:rFonts w:hint="eastAsia" w:ascii="Calibri" w:hAnsi="Calibri" w:eastAsia="宋体" w:cs="Times New Roman"/>
          <w:b/>
          <w:sz w:val="28"/>
          <w:szCs w:val="28"/>
        </w:rPr>
        <w:t xml:space="preserve"> </w:t>
      </w:r>
      <w:r>
        <w:rPr>
          <w:rFonts w:ascii="Calibri" w:hAnsi="Calibri" w:eastAsia="宋体" w:cs="Times New Roman"/>
          <w:b/>
          <w:sz w:val="28"/>
          <w:szCs w:val="28"/>
        </w:rPr>
        <w:t>投标文件</w:t>
      </w:r>
      <w:bookmarkEnd w:id="56"/>
      <w:bookmarkEnd w:id="57"/>
      <w:bookmarkEnd w:id="58"/>
      <w:bookmarkEnd w:id="59"/>
      <w:bookmarkEnd w:id="60"/>
      <w:bookmarkEnd w:id="61"/>
    </w:p>
    <w:p>
      <w:pPr>
        <w:spacing w:line="380" w:lineRule="exact"/>
        <w:outlineLvl w:val="2"/>
        <w:rPr>
          <w:rFonts w:ascii="Calibri" w:hAnsi="Calibri" w:eastAsia="Calibri" w:cs="Times New Roman"/>
          <w:b/>
          <w:bCs/>
          <w:sz w:val="28"/>
          <w:szCs w:val="28"/>
        </w:rPr>
      </w:pPr>
      <w:bookmarkStart w:id="63" w:name="_Toc397975260"/>
      <w:r>
        <w:rPr>
          <w:rFonts w:hint="eastAsia" w:ascii="Calibri" w:hAnsi="Calibri" w:eastAsia="宋体" w:cs="Times New Roman"/>
          <w:b/>
          <w:bCs/>
          <w:sz w:val="28"/>
          <w:szCs w:val="28"/>
        </w:rPr>
        <w:t>3</w:t>
      </w:r>
      <w:r>
        <w:rPr>
          <w:rFonts w:ascii="Calibri" w:hAnsi="Calibri" w:eastAsia="Calibri" w:cs="Times New Roman"/>
          <w:b/>
          <w:bCs/>
          <w:sz w:val="28"/>
          <w:szCs w:val="28"/>
        </w:rPr>
        <w:t xml:space="preserve">.1 </w:t>
      </w:r>
      <w:r>
        <w:rPr>
          <w:rFonts w:hint="eastAsia" w:ascii="宋体" w:hAnsi="宋体" w:eastAsia="宋体" w:cs="宋体"/>
          <w:b/>
          <w:bCs/>
          <w:sz w:val="28"/>
          <w:szCs w:val="28"/>
        </w:rPr>
        <w:t>投标文件</w:t>
      </w:r>
      <w:bookmarkEnd w:id="62"/>
      <w:r>
        <w:rPr>
          <w:rFonts w:hint="eastAsia" w:ascii="宋体" w:hAnsi="宋体" w:eastAsia="宋体" w:cs="宋体"/>
          <w:b/>
          <w:bCs/>
          <w:sz w:val="28"/>
          <w:szCs w:val="28"/>
        </w:rPr>
        <w:t>的组成</w:t>
      </w:r>
      <w:bookmarkEnd w:id="63"/>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3.1.1 投标文件的组成：见“投标人须知前附表”。</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3.1.2 招标文件“投标文件格式”提供相关证明材料作为附件的，投标人应按要求在电子化投标文件中上传相应证明材料，否则不予认可。</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3.1.3 投标人应按“投标人须知前附表”的规定提供相关证明材料的原件，原件必须扫描添加至电子投标文件，开标现场无须提供原件核验。</w:t>
      </w:r>
    </w:p>
    <w:p>
      <w:pPr>
        <w:spacing w:line="380" w:lineRule="exact"/>
        <w:outlineLvl w:val="2"/>
        <w:rPr>
          <w:rFonts w:ascii="Calibri" w:hAnsi="Calibri" w:eastAsia="Calibri" w:cs="Times New Roman"/>
          <w:b/>
          <w:bCs/>
          <w:sz w:val="28"/>
          <w:szCs w:val="28"/>
        </w:rPr>
      </w:pPr>
      <w:bookmarkStart w:id="64" w:name="_Toc397975261"/>
      <w:r>
        <w:rPr>
          <w:rFonts w:hint="eastAsia" w:ascii="Calibri" w:hAnsi="Calibri" w:eastAsia="宋体" w:cs="Times New Roman"/>
          <w:b/>
          <w:bCs/>
          <w:sz w:val="28"/>
          <w:szCs w:val="28"/>
        </w:rPr>
        <w:t>3</w:t>
      </w:r>
      <w:r>
        <w:rPr>
          <w:rFonts w:ascii="Calibri" w:hAnsi="Calibri" w:eastAsia="Calibri" w:cs="Times New Roman"/>
          <w:b/>
          <w:bCs/>
          <w:sz w:val="28"/>
          <w:szCs w:val="28"/>
        </w:rPr>
        <w:t xml:space="preserve">.2 </w:t>
      </w:r>
      <w:r>
        <w:rPr>
          <w:rFonts w:hint="eastAsia" w:ascii="宋体" w:hAnsi="宋体" w:eastAsia="宋体" w:cs="宋体"/>
          <w:b/>
          <w:bCs/>
          <w:sz w:val="28"/>
          <w:szCs w:val="28"/>
        </w:rPr>
        <w:t>投标报价</w:t>
      </w:r>
      <w:bookmarkEnd w:id="64"/>
    </w:p>
    <w:p>
      <w:pPr>
        <w:autoSpaceDE w:val="0"/>
        <w:autoSpaceDN w:val="0"/>
        <w:adjustRightInd w:val="0"/>
        <w:spacing w:line="312" w:lineRule="auto"/>
        <w:jc w:val="left"/>
        <w:rPr>
          <w:rFonts w:ascii="宋体" w:hAnsi="宋体" w:eastAsia="宋体" w:cs="宋体"/>
          <w:szCs w:val="21"/>
        </w:rPr>
      </w:pPr>
      <w:r>
        <w:rPr>
          <w:rFonts w:hint="eastAsia" w:ascii="Calibri" w:hAnsi="Calibri" w:eastAsia="宋体" w:cs="Times New Roman"/>
          <w:szCs w:val="21"/>
        </w:rPr>
        <w:t>3</w:t>
      </w:r>
      <w:r>
        <w:rPr>
          <w:rFonts w:ascii="Calibri" w:hAnsi="Calibri" w:eastAsia="宋体" w:cs="Times New Roman"/>
          <w:szCs w:val="21"/>
        </w:rPr>
        <w:t>.2.1</w:t>
      </w:r>
      <w:r>
        <w:rPr>
          <w:rFonts w:hint="eastAsia" w:ascii="Calibri" w:hAnsi="Calibri" w:eastAsia="宋体" w:cs="Times New Roman"/>
          <w:szCs w:val="21"/>
        </w:rPr>
        <w:t>投标报价应包含本招标文件中的全部内容所需的</w:t>
      </w:r>
      <w:r>
        <w:rPr>
          <w:rFonts w:hint="eastAsia" w:ascii="宋体" w:hAnsi="宋体" w:eastAsia="宋体" w:cs="宋体"/>
          <w:szCs w:val="21"/>
        </w:rPr>
        <w:t>所有</w:t>
      </w:r>
      <w:r>
        <w:rPr>
          <w:rFonts w:hint="eastAsia" w:ascii="宋体" w:hAnsi="宋体" w:eastAsia="宋体" w:cs="宋体"/>
          <w:color w:val="000000"/>
          <w:szCs w:val="20"/>
        </w:rPr>
        <w:t>材料费、运杂费（将货物运达采购人指定位置）、装卸费（货到工地后投标人负责卸至招标人指定位置，并堆放整齐）</w:t>
      </w:r>
      <w:r>
        <w:rPr>
          <w:rFonts w:hint="eastAsia" w:ascii="宋体" w:hAnsi="宋体" w:eastAsia="宋体" w:cs="宋体"/>
          <w:szCs w:val="21"/>
        </w:rPr>
        <w:t>管理费、税金及综合费用等。</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3</w:t>
      </w:r>
      <w:r>
        <w:rPr>
          <w:rFonts w:ascii="Calibri" w:hAnsi="Calibri" w:eastAsia="宋体" w:cs="Times New Roman"/>
          <w:szCs w:val="21"/>
        </w:rPr>
        <w:t>.2.2招标人设有</w:t>
      </w:r>
      <w:r>
        <w:rPr>
          <w:rFonts w:hint="eastAsia" w:ascii="Calibri" w:hAnsi="Calibri" w:eastAsia="宋体" w:cs="Times New Roman"/>
          <w:szCs w:val="21"/>
        </w:rPr>
        <w:t>招标控制价（</w:t>
      </w:r>
      <w:r>
        <w:rPr>
          <w:rFonts w:ascii="Calibri" w:hAnsi="Calibri" w:eastAsia="宋体" w:cs="Times New Roman"/>
          <w:szCs w:val="21"/>
        </w:rPr>
        <w:t>最高投标限价</w:t>
      </w:r>
      <w:r>
        <w:rPr>
          <w:rFonts w:hint="eastAsia" w:ascii="Calibri" w:hAnsi="Calibri" w:eastAsia="宋体" w:cs="Times New Roman"/>
          <w:szCs w:val="21"/>
        </w:rPr>
        <w:t>）</w:t>
      </w:r>
      <w:r>
        <w:rPr>
          <w:rFonts w:ascii="Calibri" w:hAnsi="Calibri" w:eastAsia="宋体" w:cs="Times New Roman"/>
          <w:szCs w:val="21"/>
        </w:rPr>
        <w:t>的，投标人的</w:t>
      </w:r>
      <w:r>
        <w:rPr>
          <w:rFonts w:hint="eastAsia" w:ascii="Calibri" w:hAnsi="Calibri" w:eastAsia="宋体" w:cs="Times New Roman"/>
          <w:szCs w:val="21"/>
        </w:rPr>
        <w:t>招标控制价（</w:t>
      </w:r>
      <w:r>
        <w:rPr>
          <w:rFonts w:ascii="Calibri" w:hAnsi="Calibri" w:eastAsia="宋体" w:cs="Times New Roman"/>
          <w:szCs w:val="21"/>
        </w:rPr>
        <w:t>最高投标限价</w:t>
      </w:r>
      <w:r>
        <w:rPr>
          <w:rFonts w:hint="eastAsia" w:ascii="Calibri" w:hAnsi="Calibri" w:eastAsia="宋体" w:cs="Times New Roman"/>
          <w:szCs w:val="21"/>
        </w:rPr>
        <w:t>）</w:t>
      </w:r>
      <w:r>
        <w:rPr>
          <w:rFonts w:ascii="Calibri" w:hAnsi="Calibri" w:eastAsia="宋体" w:cs="Times New Roman"/>
          <w:szCs w:val="21"/>
        </w:rPr>
        <w:t>不得超过</w:t>
      </w:r>
      <w:r>
        <w:rPr>
          <w:rFonts w:hint="eastAsia" w:ascii="Calibri" w:hAnsi="Calibri" w:eastAsia="宋体" w:cs="Times New Roman"/>
          <w:szCs w:val="21"/>
        </w:rPr>
        <w:t>招标控制价（</w:t>
      </w:r>
      <w:r>
        <w:rPr>
          <w:rFonts w:ascii="Calibri" w:hAnsi="Calibri" w:eastAsia="宋体" w:cs="Times New Roman"/>
          <w:szCs w:val="21"/>
        </w:rPr>
        <w:t>最高投标限价</w:t>
      </w:r>
      <w:r>
        <w:rPr>
          <w:rFonts w:hint="eastAsia" w:ascii="Calibri" w:hAnsi="Calibri" w:eastAsia="宋体" w:cs="Times New Roman"/>
          <w:szCs w:val="21"/>
        </w:rPr>
        <w:t>）</w:t>
      </w:r>
      <w:r>
        <w:rPr>
          <w:rFonts w:ascii="Calibri" w:hAnsi="Calibri" w:eastAsia="宋体" w:cs="Times New Roman"/>
          <w:szCs w:val="21"/>
        </w:rPr>
        <w:t>，</w:t>
      </w:r>
      <w:r>
        <w:rPr>
          <w:rFonts w:hint="eastAsia" w:ascii="Calibri" w:hAnsi="Calibri" w:eastAsia="宋体" w:cs="Times New Roman"/>
          <w:szCs w:val="21"/>
        </w:rPr>
        <w:t>否则作废标处理</w:t>
      </w:r>
      <w:r>
        <w:rPr>
          <w:rFonts w:ascii="Calibri" w:hAnsi="Calibri" w:eastAsia="宋体" w:cs="Times New Roman"/>
          <w:szCs w:val="21"/>
        </w:rPr>
        <w:t>。</w:t>
      </w:r>
    </w:p>
    <w:p>
      <w:pPr>
        <w:autoSpaceDE w:val="0"/>
        <w:autoSpaceDN w:val="0"/>
        <w:adjustRightInd w:val="0"/>
        <w:spacing w:line="380" w:lineRule="exact"/>
        <w:ind w:firstLine="420" w:firstLineChars="200"/>
        <w:jc w:val="left"/>
        <w:rPr>
          <w:rFonts w:ascii="Calibri" w:hAnsi="Calibri" w:eastAsia="宋体" w:cs="Calibri"/>
          <w:kern w:val="0"/>
          <w:szCs w:val="21"/>
        </w:rPr>
      </w:pPr>
      <w:r>
        <w:rPr>
          <w:rFonts w:hint="eastAsia" w:ascii="Calibri" w:hAnsi="Calibri" w:eastAsia="宋体" w:cs="Calibri"/>
          <w:kern w:val="0"/>
          <w:szCs w:val="21"/>
        </w:rPr>
        <w:t>3.2.3 投标报价的编制要求</w:t>
      </w:r>
    </w:p>
    <w:p>
      <w:pPr>
        <w:autoSpaceDE w:val="0"/>
        <w:autoSpaceDN w:val="0"/>
        <w:adjustRightInd w:val="0"/>
        <w:spacing w:line="380" w:lineRule="exact"/>
        <w:ind w:firstLine="420" w:firstLineChars="200"/>
        <w:jc w:val="left"/>
        <w:rPr>
          <w:rFonts w:ascii="Calibri" w:hAnsi="Calibri" w:eastAsia="宋体" w:cs="Calibri"/>
          <w:kern w:val="0"/>
          <w:szCs w:val="21"/>
        </w:rPr>
      </w:pPr>
      <w:r>
        <w:rPr>
          <w:rFonts w:hint="eastAsia" w:ascii="Calibri" w:hAnsi="Calibri" w:eastAsia="宋体" w:cs="Calibri"/>
          <w:kern w:val="0"/>
          <w:szCs w:val="21"/>
        </w:rPr>
        <w:t>(1)投标人应根据本项目图纸、现行技术规范、现场条件等自主报价。</w:t>
      </w:r>
    </w:p>
    <w:p>
      <w:pPr>
        <w:autoSpaceDE w:val="0"/>
        <w:autoSpaceDN w:val="0"/>
        <w:adjustRightInd w:val="0"/>
        <w:spacing w:line="380" w:lineRule="exact"/>
        <w:ind w:firstLine="420" w:firstLineChars="200"/>
        <w:jc w:val="left"/>
        <w:rPr>
          <w:rFonts w:ascii="Calibri" w:hAnsi="Calibri" w:eastAsia="宋体" w:cs="Calibri"/>
          <w:kern w:val="0"/>
          <w:szCs w:val="21"/>
        </w:rPr>
      </w:pPr>
      <w:r>
        <w:rPr>
          <w:rFonts w:hint="eastAsia" w:ascii="Calibri" w:hAnsi="Calibri" w:eastAsia="宋体" w:cs="Calibri"/>
          <w:kern w:val="0"/>
          <w:szCs w:val="21"/>
        </w:rPr>
        <w:t>(2)投标人只允许有一个报价，招标人不接受任何有选择的报价。</w:t>
      </w:r>
    </w:p>
    <w:p>
      <w:pPr>
        <w:autoSpaceDE w:val="0"/>
        <w:autoSpaceDN w:val="0"/>
        <w:adjustRightInd w:val="0"/>
        <w:spacing w:line="380" w:lineRule="exact"/>
        <w:ind w:firstLine="420" w:firstLineChars="200"/>
        <w:jc w:val="left"/>
        <w:rPr>
          <w:rFonts w:ascii="Calibri" w:hAnsi="Calibri" w:eastAsia="宋体" w:cs="Calibri"/>
          <w:kern w:val="0"/>
          <w:szCs w:val="21"/>
        </w:rPr>
      </w:pPr>
      <w:r>
        <w:rPr>
          <w:rFonts w:hint="eastAsia" w:ascii="Calibri" w:hAnsi="Calibri" w:eastAsia="宋体" w:cs="Calibri"/>
          <w:kern w:val="0"/>
          <w:szCs w:val="21"/>
        </w:rPr>
        <w:t>(3)所有投标报价以人民币表示。</w:t>
      </w:r>
    </w:p>
    <w:p>
      <w:pPr>
        <w:autoSpaceDE w:val="0"/>
        <w:autoSpaceDN w:val="0"/>
        <w:adjustRightInd w:val="0"/>
        <w:spacing w:line="380" w:lineRule="exact"/>
        <w:ind w:firstLine="420" w:firstLineChars="200"/>
        <w:jc w:val="left"/>
        <w:rPr>
          <w:rFonts w:ascii="Calibri" w:hAnsi="Calibri" w:eastAsia="宋体" w:cs="Calibri"/>
          <w:kern w:val="0"/>
          <w:szCs w:val="21"/>
        </w:rPr>
      </w:pPr>
      <w:r>
        <w:rPr>
          <w:rFonts w:hint="eastAsia" w:ascii="Calibri" w:hAnsi="Calibri" w:eastAsia="宋体" w:cs="Calibri"/>
          <w:kern w:val="0"/>
          <w:szCs w:val="21"/>
        </w:rPr>
        <w:t>(4)技术规范要求的安装、校准、调试和培训的费用应包括在投标报价中。</w:t>
      </w:r>
    </w:p>
    <w:p>
      <w:pPr>
        <w:spacing w:line="380" w:lineRule="exact"/>
        <w:outlineLvl w:val="2"/>
        <w:rPr>
          <w:rFonts w:ascii="Calibri" w:hAnsi="Calibri" w:eastAsia="Calibri" w:cs="Times New Roman"/>
          <w:b/>
          <w:bCs/>
          <w:sz w:val="28"/>
          <w:szCs w:val="28"/>
        </w:rPr>
      </w:pPr>
      <w:bookmarkStart w:id="65" w:name="_Toc397975262"/>
      <w:r>
        <w:rPr>
          <w:rFonts w:hint="eastAsia" w:ascii="Calibri" w:hAnsi="Calibri" w:eastAsia="宋体" w:cs="Times New Roman"/>
          <w:b/>
          <w:bCs/>
          <w:sz w:val="28"/>
          <w:szCs w:val="28"/>
        </w:rPr>
        <w:t>3</w:t>
      </w:r>
      <w:r>
        <w:rPr>
          <w:rFonts w:ascii="Calibri" w:hAnsi="Calibri" w:eastAsia="Calibri" w:cs="Times New Roman"/>
          <w:b/>
          <w:bCs/>
          <w:sz w:val="28"/>
          <w:szCs w:val="28"/>
        </w:rPr>
        <w:t xml:space="preserve">.3 </w:t>
      </w:r>
      <w:r>
        <w:rPr>
          <w:rFonts w:hint="eastAsia" w:ascii="宋体" w:hAnsi="宋体" w:eastAsia="宋体" w:cs="宋体"/>
          <w:b/>
          <w:bCs/>
          <w:sz w:val="28"/>
          <w:szCs w:val="28"/>
        </w:rPr>
        <w:t>投标有效期</w:t>
      </w:r>
      <w:bookmarkEnd w:id="65"/>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3</w:t>
      </w:r>
      <w:r>
        <w:rPr>
          <w:rFonts w:ascii="Calibri" w:hAnsi="Calibri" w:eastAsia="宋体" w:cs="Times New Roman"/>
          <w:szCs w:val="21"/>
        </w:rPr>
        <w:t>.3.1 在投标人须知前附表规定的投标有效期内，投标人不得要求撤销或修改其投标文件。</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3</w:t>
      </w:r>
      <w:r>
        <w:rPr>
          <w:rFonts w:ascii="Calibri" w:hAnsi="Calibri" w:eastAsia="宋体" w:cs="Times New Roman"/>
          <w:szCs w:val="21"/>
        </w:rPr>
        <w:t xml:space="preserve">.3.2出现特殊情况需要延长投标有效期的，招标人应通知所有投标人延长投标有效期。投标人同意延长的，应相应延长其投标保证金的有效期，但不得要求或被允许修改或撤销其投标文件；投标人拒绝延长的，其投标失效，但投标人有权收回其投标保证金。 </w:t>
      </w:r>
    </w:p>
    <w:p>
      <w:pPr>
        <w:spacing w:line="380" w:lineRule="exact"/>
        <w:outlineLvl w:val="2"/>
        <w:rPr>
          <w:rFonts w:ascii="Calibri" w:hAnsi="Calibri" w:eastAsia="Calibri" w:cs="Times New Roman"/>
          <w:b/>
          <w:bCs/>
          <w:sz w:val="28"/>
          <w:szCs w:val="28"/>
        </w:rPr>
      </w:pPr>
      <w:bookmarkStart w:id="66" w:name="_Toc397975263"/>
      <w:r>
        <w:rPr>
          <w:rFonts w:hint="eastAsia" w:ascii="Calibri" w:hAnsi="Calibri" w:eastAsia="宋体" w:cs="Times New Roman"/>
          <w:b/>
          <w:bCs/>
          <w:sz w:val="28"/>
          <w:szCs w:val="28"/>
        </w:rPr>
        <w:t>3</w:t>
      </w:r>
      <w:r>
        <w:rPr>
          <w:rFonts w:ascii="Calibri" w:hAnsi="Calibri" w:eastAsia="Calibri" w:cs="Times New Roman"/>
          <w:b/>
          <w:bCs/>
          <w:sz w:val="28"/>
          <w:szCs w:val="28"/>
        </w:rPr>
        <w:t xml:space="preserve">.4 </w:t>
      </w:r>
      <w:r>
        <w:rPr>
          <w:rFonts w:hint="eastAsia" w:ascii="宋体" w:hAnsi="宋体" w:eastAsia="宋体" w:cs="宋体"/>
          <w:b/>
          <w:bCs/>
          <w:sz w:val="28"/>
          <w:szCs w:val="28"/>
        </w:rPr>
        <w:t>投标保证金</w:t>
      </w:r>
      <w:bookmarkEnd w:id="66"/>
    </w:p>
    <w:p>
      <w:pPr>
        <w:autoSpaceDE w:val="0"/>
        <w:autoSpaceDN w:val="0"/>
        <w:adjustRightInd w:val="0"/>
        <w:spacing w:line="380" w:lineRule="exact"/>
        <w:ind w:firstLine="420" w:firstLineChars="200"/>
        <w:jc w:val="left"/>
        <w:rPr>
          <w:rFonts w:ascii="Calibri" w:hAnsi="Calibri" w:eastAsia="宋体" w:cs="Calibri"/>
          <w:kern w:val="0"/>
          <w:szCs w:val="21"/>
        </w:rPr>
      </w:pPr>
      <w:bookmarkStart w:id="67" w:name="_Toc152045552"/>
      <w:bookmarkStart w:id="68" w:name="_Toc152042328"/>
      <w:bookmarkStart w:id="69" w:name="_Toc246996196"/>
      <w:bookmarkStart w:id="70" w:name="_Toc246996939"/>
      <w:bookmarkStart w:id="71" w:name="_Toc179632570"/>
      <w:bookmarkStart w:id="72" w:name="_Toc366679683"/>
      <w:bookmarkStart w:id="73" w:name="_Toc247085710"/>
      <w:bookmarkStart w:id="74" w:name="_Toc144974520"/>
      <w:bookmarkStart w:id="75" w:name="_Toc397975264"/>
      <w:bookmarkStart w:id="76" w:name="_Toc339359765"/>
      <w:bookmarkStart w:id="77" w:name="_Toc269310939"/>
      <w:bookmarkStart w:id="78" w:name="_Toc324255909"/>
      <w:r>
        <w:rPr>
          <w:rFonts w:hint="eastAsia" w:ascii="Calibri" w:hAnsi="Calibri" w:eastAsia="宋体" w:cs="Calibri"/>
          <w:kern w:val="0"/>
          <w:szCs w:val="21"/>
        </w:rPr>
        <w:t>本项目无需缴纳投标保证金。</w:t>
      </w:r>
    </w:p>
    <w:p>
      <w:pPr>
        <w:spacing w:line="380" w:lineRule="exact"/>
        <w:outlineLvl w:val="2"/>
        <w:rPr>
          <w:rFonts w:ascii="Calibri" w:hAnsi="Calibri" w:eastAsia="Calibri" w:cs="Times New Roman"/>
          <w:b/>
          <w:bCs/>
          <w:sz w:val="28"/>
          <w:szCs w:val="28"/>
        </w:rPr>
      </w:pPr>
      <w:r>
        <w:rPr>
          <w:rFonts w:hint="eastAsia" w:ascii="Calibri" w:hAnsi="Calibri" w:eastAsia="宋体" w:cs="Times New Roman"/>
          <w:b/>
          <w:bCs/>
          <w:sz w:val="28"/>
          <w:szCs w:val="28"/>
        </w:rPr>
        <w:t>3</w:t>
      </w:r>
      <w:r>
        <w:rPr>
          <w:rFonts w:hint="eastAsia" w:ascii="Calibri" w:hAnsi="Calibri" w:eastAsia="Calibri" w:cs="Times New Roman"/>
          <w:b/>
          <w:bCs/>
          <w:sz w:val="28"/>
          <w:szCs w:val="28"/>
        </w:rPr>
        <w:t xml:space="preserve">.5 </w:t>
      </w:r>
      <w:bookmarkEnd w:id="67"/>
      <w:bookmarkEnd w:id="68"/>
      <w:bookmarkEnd w:id="69"/>
      <w:bookmarkEnd w:id="70"/>
      <w:bookmarkEnd w:id="71"/>
      <w:bookmarkEnd w:id="72"/>
      <w:bookmarkEnd w:id="73"/>
      <w:bookmarkEnd w:id="74"/>
      <w:r>
        <w:rPr>
          <w:rFonts w:hint="eastAsia" w:ascii="宋体" w:hAnsi="宋体" w:eastAsia="宋体" w:cs="宋体"/>
          <w:b/>
          <w:bCs/>
          <w:sz w:val="28"/>
          <w:szCs w:val="28"/>
        </w:rPr>
        <w:t>资格审查资料</w:t>
      </w:r>
      <w:bookmarkEnd w:id="75"/>
    </w:p>
    <w:p>
      <w:pPr>
        <w:spacing w:line="380" w:lineRule="exact"/>
        <w:ind w:firstLine="420" w:firstLineChars="200"/>
        <w:rPr>
          <w:rFonts w:ascii="Calibri" w:hAnsi="Calibri" w:eastAsia="宋体" w:cs="Times New Roman"/>
          <w:szCs w:val="21"/>
        </w:rPr>
      </w:pPr>
      <w:bookmarkStart w:id="79" w:name="_Toc397975265"/>
      <w:r>
        <w:rPr>
          <w:rFonts w:hint="eastAsia" w:ascii="Calibri" w:hAnsi="Calibri" w:eastAsia="宋体" w:cs="Times New Roman"/>
          <w:szCs w:val="21"/>
        </w:rPr>
        <w:t>3.5.1招标人对投标人的资格审查方式：资格后审。</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3.5.2投标申请人资格审查合格条件：</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（1）具有独立订立合同的能力；</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（2）未处于被责令停业、投标资格被取消或者财产被接管、冻结和破产状态；</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（3）企业没有因骗取中标或者严重违约以及发生重大工程质量、安全生产事故等问题，被有关部门暂停投标资格并在暂停期内；</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（4）投标单位的资格满足招标公告要求；</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（5）资格审查申请书中的重要内容没有失实或者弄虚作假；</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（6）投标人提供社保部门出具的</w:t>
      </w:r>
      <w:r>
        <w:rPr>
          <w:rFonts w:hint="eastAsia" w:ascii="宋体" w:hAnsi="宋体" w:eastAsia="宋体" w:cs="宋体"/>
          <w:szCs w:val="21"/>
        </w:rPr>
        <w:t>近3个月（</w:t>
      </w:r>
      <w:r>
        <w:rPr>
          <w:rFonts w:hint="eastAsia" w:ascii="宋体" w:hAnsi="宋体" w:eastAsia="宋体" w:cs="宋体"/>
          <w:szCs w:val="21"/>
          <w:u w:val="single"/>
        </w:rPr>
        <w:t xml:space="preserve"> </w:t>
      </w:r>
      <w:r>
        <w:rPr>
          <w:rFonts w:hint="eastAsia" w:ascii="宋体" w:hAnsi="宋体" w:eastAsia="宋体" w:cs="宋体"/>
          <w:b/>
          <w:szCs w:val="21"/>
          <w:u w:val="single"/>
        </w:rPr>
        <w:t>2025</w:t>
      </w:r>
      <w:r>
        <w:rPr>
          <w:rFonts w:hint="eastAsia" w:ascii="宋体" w:hAnsi="宋体" w:eastAsia="宋体" w:cs="宋体"/>
          <w:szCs w:val="21"/>
        </w:rPr>
        <w:t>年</w:t>
      </w:r>
      <w:r>
        <w:rPr>
          <w:rFonts w:hint="eastAsia" w:ascii="宋体" w:hAnsi="宋体" w:eastAsia="宋体" w:cs="宋体"/>
          <w:b/>
          <w:bCs/>
          <w:szCs w:val="21"/>
          <w:u w:val="single"/>
        </w:rPr>
        <w:t xml:space="preserve"> 0</w:t>
      </w:r>
      <w:r>
        <w:rPr>
          <w:rFonts w:ascii="宋体" w:hAnsi="宋体" w:eastAsia="宋体" w:cs="宋体"/>
          <w:b/>
          <w:bCs/>
          <w:szCs w:val="21"/>
          <w:u w:val="single"/>
        </w:rPr>
        <w:t>3</w:t>
      </w:r>
      <w:r>
        <w:rPr>
          <w:rFonts w:hint="eastAsia" w:ascii="宋体" w:hAnsi="宋体" w:eastAsia="宋体" w:cs="宋体"/>
          <w:szCs w:val="21"/>
        </w:rPr>
        <w:t>月 至</w:t>
      </w:r>
      <w:r>
        <w:rPr>
          <w:rFonts w:hint="eastAsia" w:ascii="宋体" w:hAnsi="宋体" w:eastAsia="宋体" w:cs="宋体"/>
          <w:szCs w:val="21"/>
          <w:u w:val="single"/>
        </w:rPr>
        <w:t xml:space="preserve"> </w:t>
      </w:r>
      <w:r>
        <w:rPr>
          <w:rFonts w:hint="eastAsia" w:ascii="宋体" w:hAnsi="宋体" w:eastAsia="宋体" w:cs="宋体"/>
          <w:b/>
          <w:szCs w:val="21"/>
          <w:u w:val="single"/>
        </w:rPr>
        <w:t>2025</w:t>
      </w:r>
      <w:r>
        <w:rPr>
          <w:rFonts w:hint="eastAsia" w:ascii="宋体" w:hAnsi="宋体" w:eastAsia="宋体" w:cs="宋体"/>
          <w:szCs w:val="21"/>
        </w:rPr>
        <w:t>年</w:t>
      </w:r>
      <w:r>
        <w:rPr>
          <w:rFonts w:hint="eastAsia" w:ascii="宋体" w:hAnsi="宋体" w:eastAsia="宋体" w:cs="宋体"/>
          <w:b/>
          <w:bCs/>
          <w:szCs w:val="21"/>
          <w:u w:val="single"/>
        </w:rPr>
        <w:t xml:space="preserve"> 0</w:t>
      </w:r>
      <w:r>
        <w:rPr>
          <w:rFonts w:ascii="宋体" w:hAnsi="宋体" w:eastAsia="宋体" w:cs="宋体"/>
          <w:b/>
          <w:bCs/>
          <w:szCs w:val="21"/>
          <w:u w:val="single"/>
        </w:rPr>
        <w:t>5</w:t>
      </w:r>
      <w:r>
        <w:rPr>
          <w:rFonts w:hint="eastAsia" w:ascii="宋体" w:hAnsi="宋体" w:eastAsia="宋体" w:cs="宋体"/>
          <w:szCs w:val="21"/>
        </w:rPr>
        <w:t>月）任意一个月</w:t>
      </w:r>
      <w:r>
        <w:rPr>
          <w:rFonts w:hint="eastAsia" w:ascii="Calibri" w:hAnsi="Calibri" w:eastAsia="宋体" w:cs="Times New Roman"/>
          <w:szCs w:val="21"/>
        </w:rPr>
        <w:t>为授权委托人缴纳在职职工养老保险的证明材料的（已取消书面证明采用网上自助查询方式的，如当地社保管理部门明确的最大查询期与招标文件规定的月份不一致时，须提供社保管理部门的文件规定）；</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（7）</w:t>
      </w:r>
      <w:r>
        <w:rPr>
          <w:rFonts w:ascii="Calibri" w:hAnsi="Calibri" w:eastAsia="宋体" w:cs="Times New Roman"/>
          <w:szCs w:val="21"/>
        </w:rPr>
        <w:t>具有良好的商业信誉和健全的财务会计制度；</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（8）</w:t>
      </w:r>
      <w:r>
        <w:rPr>
          <w:rFonts w:ascii="Calibri" w:hAnsi="Calibri" w:eastAsia="宋体" w:cs="Times New Roman"/>
          <w:szCs w:val="21"/>
        </w:rPr>
        <w:t>具有履行合同所必需的设备和专业技术能力</w:t>
      </w:r>
      <w:r>
        <w:rPr>
          <w:rFonts w:hint="eastAsia" w:ascii="Calibri" w:hAnsi="Calibri" w:eastAsia="宋体" w:cs="Times New Roman"/>
          <w:szCs w:val="21"/>
        </w:rPr>
        <w:t>；</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（9）</w:t>
      </w:r>
      <w:r>
        <w:rPr>
          <w:rFonts w:ascii="Calibri" w:hAnsi="Calibri" w:eastAsia="宋体" w:cs="Times New Roman"/>
          <w:szCs w:val="21"/>
        </w:rPr>
        <w:t>有依法缴纳税收和社会保障资金的良好记录</w:t>
      </w:r>
      <w:r>
        <w:rPr>
          <w:rFonts w:hint="eastAsia" w:ascii="Calibri" w:hAnsi="Calibri" w:eastAsia="宋体" w:cs="Times New Roman"/>
          <w:szCs w:val="21"/>
        </w:rPr>
        <w:t>；</w:t>
      </w:r>
    </w:p>
    <w:p>
      <w:pPr>
        <w:spacing w:line="380" w:lineRule="exact"/>
        <w:ind w:firstLine="480"/>
        <w:rPr>
          <w:rFonts w:ascii="Calibri" w:hAnsi="Calibri" w:eastAsia="宋体" w:cs="Times New Roman"/>
          <w:szCs w:val="21"/>
        </w:rPr>
      </w:pPr>
      <w:r>
        <w:rPr>
          <w:rFonts w:hint="eastAsia" w:ascii="Calibri" w:hAnsi="Calibri" w:eastAsia="宋体" w:cs="Times New Roman"/>
          <w:szCs w:val="21"/>
        </w:rPr>
        <w:t>（10）</w:t>
      </w:r>
      <w:r>
        <w:rPr>
          <w:rFonts w:hint="eastAsia" w:ascii="宋体" w:hAnsi="宋体" w:eastAsia="宋体" w:cs="Times New Roman"/>
          <w:szCs w:val="21"/>
        </w:rPr>
        <w:t>未被“信用中国”网站（www.creditchina.gov.cn）、“中国政府采购网”(www.ccgp.gov.cn)列入失信被执行人、重大税收违法案件当事人名单、政府采购严重违法失信行为记录名单</w:t>
      </w:r>
      <w:r>
        <w:rPr>
          <w:rFonts w:hint="eastAsia" w:ascii="Calibri" w:hAnsi="Calibri" w:eastAsia="宋体" w:cs="Times New Roman"/>
          <w:szCs w:val="21"/>
        </w:rPr>
        <w:t>；</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（11）符合法律、法规规定的其他条件。</w:t>
      </w:r>
    </w:p>
    <w:p>
      <w:pPr>
        <w:spacing w:line="380" w:lineRule="exact"/>
        <w:ind w:firstLine="210" w:firstLineChars="100"/>
        <w:rPr>
          <w:rFonts w:ascii="Calibri" w:hAnsi="Calibri" w:eastAsia="宋体" w:cs="Times New Roman"/>
          <w:szCs w:val="21"/>
        </w:rPr>
      </w:pPr>
      <w:r>
        <w:rPr>
          <w:rFonts w:hint="eastAsia" w:ascii="Calibri" w:hAnsi="Calibri" w:eastAsia="宋体" w:cs="Times New Roman"/>
          <w:szCs w:val="21"/>
        </w:rPr>
        <w:t>3.5.3投标申请人所提交的资格审查文件有下列情况之一的，将作为符合性检查未通过而不予评审：</w:t>
      </w:r>
    </w:p>
    <w:p>
      <w:pPr>
        <w:spacing w:line="380" w:lineRule="exact"/>
        <w:ind w:firstLine="420" w:firstLineChars="200"/>
        <w:jc w:val="left"/>
        <w:rPr>
          <w:rFonts w:ascii="Calibri" w:hAnsi="Calibri" w:eastAsia="宋体" w:cs="Times New Roman"/>
          <w:szCs w:val="21"/>
        </w:rPr>
      </w:pPr>
      <w:r>
        <w:rPr>
          <w:rFonts w:hint="eastAsia" w:ascii="Calibri" w:hAnsi="Calibri" w:eastAsia="宋体" w:cs="Times New Roman"/>
          <w:szCs w:val="21"/>
        </w:rPr>
        <w:t>（1）未按招标文件规定的资格审查申请文件相应位置加盖法人公章，或没有法定代表人或其授权代理人印鉴或签字。</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（2）资格审查申请文件(不含申请人的附加说明、证明材料)未按规定的格式、内容和要求编制的，或字迹潦草、模糊无法辨认的。</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（3）投标人资格不满足招标公告和招标文件要求的。</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（4）投标人采用多种形式，对本项目递交二份或多份资格审查文件，并在递交投标文件截止时间时仍不加以说明的。</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（5）投标人未提供社保部门出具的</w:t>
      </w:r>
      <w:r>
        <w:rPr>
          <w:rFonts w:hint="eastAsia" w:ascii="宋体" w:hAnsi="宋体" w:eastAsia="宋体" w:cs="宋体"/>
          <w:szCs w:val="21"/>
        </w:rPr>
        <w:t>近3个月（</w:t>
      </w:r>
      <w:r>
        <w:rPr>
          <w:rFonts w:hint="eastAsia" w:ascii="宋体" w:hAnsi="宋体" w:eastAsia="宋体" w:cs="宋体"/>
          <w:szCs w:val="21"/>
          <w:u w:val="single"/>
        </w:rPr>
        <w:t xml:space="preserve"> </w:t>
      </w:r>
      <w:r>
        <w:rPr>
          <w:rFonts w:hint="eastAsia" w:ascii="宋体" w:hAnsi="宋体" w:eastAsia="宋体" w:cs="宋体"/>
          <w:b/>
          <w:szCs w:val="21"/>
          <w:u w:val="single"/>
        </w:rPr>
        <w:t>2025</w:t>
      </w:r>
      <w:r>
        <w:rPr>
          <w:rFonts w:hint="eastAsia" w:ascii="宋体" w:hAnsi="宋体" w:eastAsia="宋体" w:cs="宋体"/>
          <w:szCs w:val="21"/>
        </w:rPr>
        <w:t>年</w:t>
      </w:r>
      <w:r>
        <w:rPr>
          <w:rFonts w:hint="eastAsia" w:ascii="宋体" w:hAnsi="宋体" w:eastAsia="宋体" w:cs="宋体"/>
          <w:b/>
          <w:bCs/>
          <w:szCs w:val="21"/>
          <w:u w:val="single"/>
        </w:rPr>
        <w:t xml:space="preserve"> 0</w:t>
      </w:r>
      <w:r>
        <w:rPr>
          <w:rFonts w:ascii="宋体" w:hAnsi="宋体" w:eastAsia="宋体" w:cs="宋体"/>
          <w:b/>
          <w:bCs/>
          <w:szCs w:val="21"/>
          <w:u w:val="single"/>
        </w:rPr>
        <w:t>3</w:t>
      </w:r>
      <w:r>
        <w:rPr>
          <w:rFonts w:hint="eastAsia" w:ascii="宋体" w:hAnsi="宋体" w:eastAsia="宋体" w:cs="宋体"/>
          <w:szCs w:val="21"/>
        </w:rPr>
        <w:t>月 至</w:t>
      </w:r>
      <w:r>
        <w:rPr>
          <w:rFonts w:hint="eastAsia" w:ascii="宋体" w:hAnsi="宋体" w:eastAsia="宋体" w:cs="宋体"/>
          <w:szCs w:val="21"/>
          <w:u w:val="single"/>
        </w:rPr>
        <w:t xml:space="preserve"> </w:t>
      </w:r>
      <w:r>
        <w:rPr>
          <w:rFonts w:hint="eastAsia" w:ascii="宋体" w:hAnsi="宋体" w:eastAsia="宋体" w:cs="宋体"/>
          <w:b/>
          <w:szCs w:val="21"/>
          <w:u w:val="single"/>
        </w:rPr>
        <w:t>2025</w:t>
      </w:r>
      <w:r>
        <w:rPr>
          <w:rFonts w:hint="eastAsia" w:ascii="宋体" w:hAnsi="宋体" w:eastAsia="宋体" w:cs="宋体"/>
          <w:szCs w:val="21"/>
        </w:rPr>
        <w:t>年</w:t>
      </w:r>
      <w:r>
        <w:rPr>
          <w:rFonts w:hint="eastAsia" w:ascii="宋体" w:hAnsi="宋体" w:eastAsia="宋体" w:cs="宋体"/>
          <w:b/>
          <w:bCs/>
          <w:szCs w:val="21"/>
          <w:u w:val="single"/>
        </w:rPr>
        <w:t xml:space="preserve"> 0</w:t>
      </w:r>
      <w:r>
        <w:rPr>
          <w:rFonts w:ascii="宋体" w:hAnsi="宋体" w:eastAsia="宋体" w:cs="宋体"/>
          <w:b/>
          <w:bCs/>
          <w:szCs w:val="21"/>
          <w:u w:val="single"/>
        </w:rPr>
        <w:t>5</w:t>
      </w:r>
      <w:r>
        <w:rPr>
          <w:rFonts w:hint="eastAsia" w:ascii="宋体" w:hAnsi="宋体" w:eastAsia="宋体" w:cs="宋体"/>
          <w:szCs w:val="21"/>
        </w:rPr>
        <w:t>月）任意一个月</w:t>
      </w:r>
      <w:r>
        <w:rPr>
          <w:rFonts w:hint="eastAsia" w:ascii="Calibri" w:hAnsi="Calibri" w:eastAsia="宋体" w:cs="Times New Roman"/>
          <w:szCs w:val="21"/>
        </w:rPr>
        <w:t>为授权委托人缴纳在职职工养老保险的证明材料的（已取消书面证明采用网上自助查询方式的，如当地社保管理部门明确的最大查询期与招标文件规定的月份不一致时，须提供社保管理部门的文件规定）。</w:t>
      </w:r>
    </w:p>
    <w:p>
      <w:pPr>
        <w:spacing w:line="380" w:lineRule="exact"/>
        <w:ind w:firstLine="420" w:firstLineChars="200"/>
        <w:jc w:val="left"/>
        <w:rPr>
          <w:rFonts w:ascii="Calibri" w:hAnsi="Calibri" w:eastAsia="宋体" w:cs="Times New Roman"/>
          <w:szCs w:val="21"/>
        </w:rPr>
      </w:pPr>
      <w:r>
        <w:rPr>
          <w:rFonts w:hint="eastAsia" w:ascii="Calibri" w:hAnsi="Calibri" w:eastAsia="宋体" w:cs="Times New Roman"/>
          <w:szCs w:val="21"/>
        </w:rPr>
        <w:t>（6）投标人未提交</w:t>
      </w:r>
      <w:r>
        <w:rPr>
          <w:rFonts w:hint="eastAsia" w:ascii="宋体" w:hAnsi="宋体" w:eastAsia="宋体" w:cs="宋体"/>
          <w:szCs w:val="21"/>
        </w:rPr>
        <w:t>具备履行合同所必需的设备和专业技术能力的书面声明</w:t>
      </w:r>
      <w:r>
        <w:rPr>
          <w:rFonts w:hint="eastAsia" w:ascii="Calibri" w:hAnsi="Calibri" w:eastAsia="宋体" w:cs="Times New Roman"/>
          <w:szCs w:val="21"/>
        </w:rPr>
        <w:t>。</w:t>
      </w:r>
    </w:p>
    <w:p>
      <w:pPr>
        <w:spacing w:line="380" w:lineRule="exact"/>
        <w:ind w:firstLine="420" w:firstLineChars="200"/>
        <w:jc w:val="left"/>
        <w:rPr>
          <w:rFonts w:ascii="Calibri" w:hAnsi="Calibri" w:eastAsia="宋体" w:cs="Times New Roman"/>
          <w:kern w:val="0"/>
          <w:szCs w:val="21"/>
        </w:rPr>
      </w:pPr>
      <w:r>
        <w:rPr>
          <w:rFonts w:hint="eastAsia" w:ascii="Calibri" w:hAnsi="Calibri" w:eastAsia="宋体" w:cs="Times New Roman"/>
          <w:szCs w:val="21"/>
        </w:rPr>
        <w:t>（7）投标人</w:t>
      </w:r>
      <w:r>
        <w:rPr>
          <w:rFonts w:hint="eastAsia" w:ascii="Calibri" w:hAnsi="Calibri" w:eastAsia="宋体" w:cs="Times New Roman"/>
          <w:kern w:val="0"/>
          <w:szCs w:val="21"/>
        </w:rPr>
        <w:t>未提交</w:t>
      </w:r>
      <w:r>
        <w:rPr>
          <w:rFonts w:hint="eastAsia" w:ascii="宋体" w:hAnsi="宋体" w:eastAsia="宋体" w:cs="宋体"/>
          <w:szCs w:val="21"/>
        </w:rPr>
        <w:t>2025年2月至2025年4月内任意一份依法纳税的缴款凭证（投标人依法享受缓缴、免缴的提供证明材料）</w:t>
      </w:r>
      <w:r>
        <w:rPr>
          <w:rFonts w:hint="eastAsia" w:ascii="Calibri" w:hAnsi="Calibri" w:eastAsia="宋体" w:cs="Times New Roman"/>
          <w:kern w:val="0"/>
          <w:szCs w:val="21"/>
        </w:rPr>
        <w:t>。</w:t>
      </w:r>
    </w:p>
    <w:p>
      <w:pPr>
        <w:spacing w:after="120"/>
        <w:ind w:firstLine="420" w:firstLineChars="200"/>
        <w:rPr>
          <w:rFonts w:ascii="Times New Roman" w:hAnsi="Times New Roman" w:eastAsia="宋体" w:cs="Times New Roman"/>
          <w:szCs w:val="20"/>
        </w:rPr>
      </w:pPr>
      <w:r>
        <w:rPr>
          <w:rFonts w:hint="eastAsia" w:ascii="Times New Roman" w:hAnsi="Times New Roman" w:eastAsia="宋体" w:cs="Times New Roman"/>
          <w:szCs w:val="20"/>
        </w:rPr>
        <w:t>（8）</w:t>
      </w:r>
      <w:r>
        <w:rPr>
          <w:rFonts w:hint="eastAsia" w:ascii="Calibri" w:hAnsi="Calibri" w:eastAsia="宋体" w:cs="Times New Roman"/>
          <w:szCs w:val="21"/>
        </w:rPr>
        <w:t>投标人</w:t>
      </w:r>
      <w:r>
        <w:rPr>
          <w:rFonts w:hint="eastAsia" w:ascii="Calibri" w:hAnsi="Calibri" w:eastAsia="宋体" w:cs="Times New Roman"/>
          <w:kern w:val="0"/>
          <w:szCs w:val="21"/>
        </w:rPr>
        <w:t>未提交</w:t>
      </w:r>
      <w:r>
        <w:rPr>
          <w:rFonts w:hint="eastAsia" w:ascii="宋体" w:hAnsi="宋体" w:eastAsia="宋体" w:cs="宋体"/>
          <w:szCs w:val="21"/>
        </w:rPr>
        <w:t>税务、银行或社会保险基金管理部门出具的2025年2月至2025年4月内任意一个月缴纳职工社会保障资金的缴款凭证或缴款证明（投标人依法享受缓缴、免缴的提供证明材料）。</w:t>
      </w:r>
    </w:p>
    <w:p>
      <w:pPr>
        <w:spacing w:line="380" w:lineRule="exact"/>
        <w:ind w:firstLine="420" w:firstLineChars="200"/>
        <w:jc w:val="left"/>
        <w:rPr>
          <w:rFonts w:ascii="宋体" w:hAnsi="宋体" w:eastAsia="宋体" w:cs="宋体"/>
          <w:szCs w:val="21"/>
        </w:rPr>
      </w:pPr>
      <w:r>
        <w:rPr>
          <w:rFonts w:hint="eastAsia" w:ascii="宋体" w:hAnsi="宋体" w:eastAsia="宋体" w:cs="宋体"/>
          <w:szCs w:val="21"/>
        </w:rPr>
        <w:t>（9）投标人未提交2024年度的财务报告情况。</w:t>
      </w:r>
    </w:p>
    <w:p>
      <w:pPr>
        <w:spacing w:line="380" w:lineRule="exact"/>
        <w:ind w:firstLine="420" w:firstLineChars="200"/>
        <w:jc w:val="left"/>
        <w:rPr>
          <w:rFonts w:ascii="宋体" w:hAnsi="宋体" w:eastAsia="宋体" w:cs="宋体"/>
          <w:szCs w:val="21"/>
        </w:rPr>
      </w:pPr>
      <w:r>
        <w:rPr>
          <w:rFonts w:hint="eastAsia" w:ascii="宋体" w:hAnsi="宋体" w:eastAsia="宋体" w:cs="宋体"/>
          <w:szCs w:val="21"/>
        </w:rPr>
        <w:t>（10）投标人未提供投标人须知前附表第3.1.1条规定相关证书；</w:t>
      </w:r>
    </w:p>
    <w:p>
      <w:pPr>
        <w:spacing w:line="380" w:lineRule="exact"/>
        <w:ind w:firstLine="420" w:firstLineChars="200"/>
        <w:jc w:val="left"/>
        <w:rPr>
          <w:rFonts w:ascii="宋体" w:hAnsi="宋体" w:eastAsia="宋体" w:cs="宋体"/>
          <w:szCs w:val="21"/>
        </w:rPr>
      </w:pPr>
      <w:r>
        <w:rPr>
          <w:rFonts w:hint="eastAsia" w:ascii="宋体" w:hAnsi="宋体" w:eastAsia="宋体" w:cs="宋体"/>
          <w:szCs w:val="21"/>
        </w:rPr>
        <w:t>（11）投标人未在规定时间内完成电子招标投标交易平台交易系统网上登记。</w:t>
      </w:r>
    </w:p>
    <w:p>
      <w:pPr>
        <w:spacing w:line="380" w:lineRule="exact"/>
        <w:ind w:firstLine="420" w:firstLineChars="200"/>
        <w:jc w:val="left"/>
        <w:rPr>
          <w:rFonts w:ascii="宋体" w:hAnsi="宋体" w:eastAsia="宋体" w:cs="宋体"/>
          <w:szCs w:val="21"/>
        </w:rPr>
      </w:pPr>
      <w:r>
        <w:rPr>
          <w:rFonts w:hint="eastAsia" w:ascii="宋体" w:hAnsi="宋体" w:eastAsia="宋体" w:cs="宋体"/>
          <w:szCs w:val="21"/>
        </w:rPr>
        <w:t>3.5.4本项目不允许转包和违法分包。</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3.5.5资格审查文件作为投标文件的一部分，应随同其他投标文件在规定时间上传。</w:t>
      </w:r>
    </w:p>
    <w:p>
      <w:pPr>
        <w:spacing w:line="380" w:lineRule="exact"/>
        <w:ind w:firstLine="422" w:firstLineChars="200"/>
        <w:rPr>
          <w:rFonts w:ascii="Calibri" w:hAnsi="Calibri" w:eastAsia="宋体" w:cs="Times New Roman"/>
          <w:b/>
          <w:szCs w:val="21"/>
        </w:rPr>
      </w:pPr>
      <w:r>
        <w:rPr>
          <w:rFonts w:hint="eastAsia" w:ascii="Calibri" w:hAnsi="Calibri" w:eastAsia="宋体" w:cs="Times New Roman"/>
          <w:b/>
          <w:szCs w:val="21"/>
        </w:rPr>
        <w:t>3.5.6资格审查文件应包含以下内容</w:t>
      </w:r>
    </w:p>
    <w:p>
      <w:pPr>
        <w:tabs>
          <w:tab w:val="left" w:pos="1300"/>
          <w:tab w:val="left" w:pos="1600"/>
        </w:tabs>
        <w:spacing w:line="380" w:lineRule="exact"/>
        <w:ind w:firstLine="420" w:firstLineChars="200"/>
        <w:rPr>
          <w:rFonts w:ascii="Calibri" w:hAnsi="Calibri" w:eastAsia="宋体" w:cs="Times New Roman"/>
          <w:kern w:val="0"/>
          <w:szCs w:val="21"/>
        </w:rPr>
      </w:pPr>
      <w:r>
        <w:rPr>
          <w:rFonts w:hint="eastAsia" w:ascii="Calibri" w:hAnsi="Calibri" w:eastAsia="宋体" w:cs="Times New Roman"/>
          <w:kern w:val="0"/>
          <w:szCs w:val="21"/>
        </w:rPr>
        <w:t>（1）法定代表人身份证明或附有法定代表人身份证明的授权委托书；</w:t>
      </w:r>
    </w:p>
    <w:p>
      <w:pPr>
        <w:tabs>
          <w:tab w:val="left" w:pos="1300"/>
          <w:tab w:val="left" w:pos="1600"/>
        </w:tabs>
        <w:spacing w:line="380" w:lineRule="exact"/>
        <w:ind w:firstLine="420" w:firstLineChars="200"/>
        <w:rPr>
          <w:rFonts w:ascii="Calibri" w:hAnsi="Calibri" w:eastAsia="宋体" w:cs="Times New Roman"/>
          <w:kern w:val="0"/>
          <w:szCs w:val="21"/>
        </w:rPr>
      </w:pPr>
      <w:r>
        <w:rPr>
          <w:rFonts w:hint="eastAsia" w:ascii="Calibri" w:hAnsi="Calibri" w:eastAsia="宋体" w:cs="Times New Roman"/>
          <w:kern w:val="0"/>
          <w:szCs w:val="21"/>
        </w:rPr>
        <w:t>（2）</w:t>
      </w:r>
      <w:r>
        <w:rPr>
          <w:rFonts w:ascii="Calibri" w:hAnsi="Calibri" w:eastAsia="宋体" w:cs="Times New Roman"/>
          <w:kern w:val="0"/>
          <w:szCs w:val="21"/>
        </w:rPr>
        <w:t>申请资格审查人简介</w:t>
      </w:r>
      <w:r>
        <w:rPr>
          <w:rFonts w:hint="eastAsia" w:ascii="Calibri" w:hAnsi="Calibri" w:eastAsia="宋体" w:cs="Times New Roman"/>
          <w:kern w:val="0"/>
          <w:szCs w:val="21"/>
        </w:rPr>
        <w:t>；</w:t>
      </w:r>
    </w:p>
    <w:p>
      <w:pPr>
        <w:tabs>
          <w:tab w:val="left" w:pos="1300"/>
          <w:tab w:val="left" w:pos="1600"/>
        </w:tabs>
        <w:spacing w:line="380" w:lineRule="exact"/>
        <w:ind w:firstLine="420" w:firstLineChars="200"/>
        <w:rPr>
          <w:rFonts w:ascii="Calibri" w:hAnsi="Calibri" w:eastAsia="宋体" w:cs="Times New Roman"/>
          <w:kern w:val="0"/>
          <w:szCs w:val="21"/>
        </w:rPr>
      </w:pPr>
      <w:r>
        <w:rPr>
          <w:rFonts w:hint="eastAsia" w:ascii="Calibri" w:hAnsi="Calibri" w:eastAsia="宋体" w:cs="Times New Roman"/>
          <w:kern w:val="0"/>
          <w:szCs w:val="21"/>
        </w:rPr>
        <w:t>（3）投标人企业营业执照；</w:t>
      </w:r>
    </w:p>
    <w:p>
      <w:pPr>
        <w:tabs>
          <w:tab w:val="left" w:pos="1300"/>
          <w:tab w:val="left" w:pos="1600"/>
        </w:tabs>
        <w:spacing w:line="380" w:lineRule="exact"/>
        <w:ind w:firstLine="420" w:firstLineChars="200"/>
        <w:rPr>
          <w:rFonts w:ascii="Calibri" w:hAnsi="Calibri" w:eastAsia="宋体" w:cs="Calibri"/>
          <w:kern w:val="0"/>
          <w:szCs w:val="21"/>
          <w:shd w:val="clear" w:color="auto" w:fill="FFFFFF"/>
        </w:rPr>
      </w:pPr>
      <w:r>
        <w:rPr>
          <w:rFonts w:hint="eastAsia" w:ascii="Calibri" w:hAnsi="Calibri" w:eastAsia="宋体" w:cs="Calibri"/>
          <w:kern w:val="0"/>
          <w:szCs w:val="21"/>
          <w:shd w:val="clear" w:color="auto" w:fill="FFFFFF"/>
        </w:rPr>
        <w:t>（4）</w:t>
      </w:r>
      <w:r>
        <w:rPr>
          <w:rFonts w:hint="eastAsia" w:ascii="Times New Roman" w:hAnsi="Times New Roman" w:eastAsia="宋体" w:cs="Times New Roman"/>
          <w:szCs w:val="21"/>
        </w:rPr>
        <w:t>投标人为授权委托人、项目负责人缴纳</w:t>
      </w:r>
      <w:r>
        <w:rPr>
          <w:rFonts w:hint="eastAsia" w:ascii="宋体" w:hAnsi="宋体" w:eastAsia="宋体" w:cs="宋体"/>
          <w:color w:val="0000FF"/>
          <w:szCs w:val="21"/>
        </w:rPr>
        <w:t>（2025年3月-2025年5月）</w:t>
      </w:r>
      <w:r>
        <w:rPr>
          <w:rFonts w:hint="eastAsia" w:ascii="宋体" w:hAnsi="宋体" w:eastAsia="宋体" w:cs="宋体"/>
          <w:color w:val="000000"/>
          <w:szCs w:val="21"/>
        </w:rPr>
        <w:t>任意一个月</w:t>
      </w:r>
      <w:r>
        <w:rPr>
          <w:rFonts w:hint="eastAsia" w:ascii="Times New Roman" w:hAnsi="Times New Roman" w:eastAsia="宋体" w:cs="Times New Roman"/>
          <w:color w:val="000000"/>
          <w:szCs w:val="21"/>
        </w:rPr>
        <w:t>在职职工养老保险的证明材料；采用网上自助查询方式的，如当地社保管理部门明确的最大查询期与招标文件规定的月份不一致时，须提供社保管理部门的文件）</w:t>
      </w:r>
      <w:r>
        <w:rPr>
          <w:rFonts w:hint="eastAsia" w:ascii="Calibri" w:hAnsi="Calibri" w:eastAsia="宋体" w:cs="Calibri"/>
          <w:kern w:val="0"/>
          <w:szCs w:val="21"/>
          <w:shd w:val="clear" w:color="auto" w:fill="FFFFFF"/>
        </w:rPr>
        <w:t>;</w:t>
      </w:r>
    </w:p>
    <w:p>
      <w:pPr>
        <w:shd w:val="solid" w:color="FFFFFF" w:fill="auto"/>
        <w:spacing w:line="380" w:lineRule="exact"/>
        <w:ind w:firstLine="420" w:firstLineChars="200"/>
        <w:jc w:val="left"/>
        <w:rPr>
          <w:rFonts w:ascii="Calibri" w:hAnsi="Calibri" w:eastAsia="宋体" w:cs="Calibri"/>
          <w:kern w:val="0"/>
          <w:szCs w:val="21"/>
          <w:shd w:val="clear" w:color="auto" w:fill="FFFFFF"/>
        </w:rPr>
      </w:pPr>
      <w:r>
        <w:rPr>
          <w:rFonts w:hint="eastAsia" w:ascii="Calibri" w:hAnsi="Calibri" w:eastAsia="宋体" w:cs="Calibri"/>
          <w:kern w:val="0"/>
          <w:szCs w:val="21"/>
          <w:shd w:val="clear" w:color="auto" w:fill="FFFFFF"/>
        </w:rPr>
        <w:t>（5）</w:t>
      </w:r>
      <w:r>
        <w:rPr>
          <w:rFonts w:hint="eastAsia" w:ascii="宋体" w:hAnsi="宋体" w:eastAsia="宋体" w:cs="宋体"/>
          <w:szCs w:val="21"/>
        </w:rPr>
        <w:t>具备履行合同所必需的设备和专业技术能力的书面声明；</w:t>
      </w:r>
    </w:p>
    <w:p>
      <w:pPr>
        <w:tabs>
          <w:tab w:val="left" w:pos="1300"/>
          <w:tab w:val="left" w:pos="1600"/>
        </w:tabs>
        <w:spacing w:line="380" w:lineRule="exact"/>
        <w:ind w:firstLine="420" w:firstLineChars="200"/>
        <w:rPr>
          <w:rFonts w:ascii="宋体" w:hAnsi="宋体" w:eastAsia="宋体" w:cs="宋体"/>
          <w:szCs w:val="21"/>
        </w:rPr>
      </w:pPr>
      <w:r>
        <w:rPr>
          <w:rFonts w:hint="eastAsia" w:ascii="Calibri" w:hAnsi="Calibri" w:eastAsia="宋体" w:cs="Times New Roman"/>
          <w:kern w:val="0"/>
          <w:szCs w:val="21"/>
        </w:rPr>
        <w:t>（6）</w:t>
      </w:r>
      <w:r>
        <w:rPr>
          <w:rFonts w:hint="eastAsia" w:ascii="宋体" w:hAnsi="宋体" w:eastAsia="宋体" w:cs="宋体"/>
          <w:szCs w:val="21"/>
        </w:rPr>
        <w:t>投标人2025年2月至2025年4月内任意一份依法纳税的缴款凭证（投标人依法享受缓缴、免缴的提供证明材料）；</w:t>
      </w:r>
    </w:p>
    <w:p>
      <w:pPr>
        <w:tabs>
          <w:tab w:val="left" w:pos="1300"/>
          <w:tab w:val="left" w:pos="1600"/>
        </w:tabs>
        <w:spacing w:line="380" w:lineRule="exact"/>
        <w:ind w:firstLine="420" w:firstLineChars="200"/>
        <w:rPr>
          <w:rFonts w:ascii="宋体" w:hAnsi="宋体" w:eastAsia="宋体" w:cs="宋体"/>
          <w:szCs w:val="21"/>
        </w:rPr>
      </w:pPr>
      <w:r>
        <w:rPr>
          <w:rFonts w:hint="eastAsia" w:ascii="宋体" w:hAnsi="宋体" w:eastAsia="宋体" w:cs="宋体"/>
          <w:szCs w:val="21"/>
        </w:rPr>
        <w:t>（7）税务、银行或社会保险基金管理部门出具的2025年2月至2025年4月内任意一个月缴纳职工社会保障资金的缴款凭证或缴款证明（投标人依法享受缓缴、免缴的提供证明材料）；</w:t>
      </w:r>
    </w:p>
    <w:p>
      <w:pPr>
        <w:spacing w:after="120"/>
        <w:ind w:firstLine="420" w:firstLineChars="200"/>
        <w:rPr>
          <w:rFonts w:ascii="宋体" w:hAnsi="宋体" w:eastAsia="宋体" w:cs="宋体"/>
          <w:szCs w:val="21"/>
        </w:rPr>
      </w:pPr>
      <w:r>
        <w:rPr>
          <w:rFonts w:hint="eastAsia" w:ascii="Times New Roman" w:hAnsi="Times New Roman" w:eastAsia="宋体" w:cs="Times New Roman"/>
          <w:szCs w:val="20"/>
        </w:rPr>
        <w:t>（8）</w:t>
      </w:r>
      <w:r>
        <w:rPr>
          <w:rFonts w:hint="eastAsia" w:ascii="宋体" w:hAnsi="宋体" w:eastAsia="宋体" w:cs="宋体"/>
          <w:szCs w:val="21"/>
        </w:rPr>
        <w:t>2024年度的财务报告情况（成立不满一年不需提供）；</w:t>
      </w:r>
    </w:p>
    <w:p>
      <w:pPr>
        <w:spacing w:after="120"/>
        <w:ind w:firstLine="420" w:firstLineChars="200"/>
        <w:rPr>
          <w:rFonts w:ascii="宋体" w:hAnsi="宋体" w:eastAsia="宋体" w:cs="宋体"/>
          <w:szCs w:val="21"/>
        </w:rPr>
      </w:pPr>
      <w:r>
        <w:rPr>
          <w:rFonts w:hint="eastAsia" w:ascii="宋体" w:hAnsi="宋体" w:eastAsia="宋体" w:cs="宋体"/>
          <w:szCs w:val="21"/>
        </w:rPr>
        <w:t>（9）工业产品生产许可证；</w:t>
      </w:r>
    </w:p>
    <w:p>
      <w:pPr>
        <w:spacing w:after="120"/>
        <w:ind w:firstLine="420" w:firstLineChars="200"/>
        <w:rPr>
          <w:rFonts w:ascii="宋体" w:hAnsi="宋体" w:eastAsia="宋体" w:cs="宋体"/>
          <w:szCs w:val="21"/>
        </w:rPr>
      </w:pPr>
      <w:r>
        <w:rPr>
          <w:rFonts w:hint="eastAsia" w:ascii="宋体" w:hAnsi="宋体" w:eastAsia="宋体" w:cs="宋体"/>
          <w:szCs w:val="21"/>
        </w:rPr>
        <w:t>（10）消防产品认证证书（范围防火门、窗）；</w:t>
      </w:r>
    </w:p>
    <w:p>
      <w:pPr>
        <w:spacing w:after="120"/>
        <w:ind w:firstLine="420" w:firstLineChars="200"/>
        <w:rPr>
          <w:rFonts w:ascii="宋体" w:hAnsi="宋体" w:eastAsia="宋体" w:cs="宋体"/>
          <w:szCs w:val="21"/>
        </w:rPr>
      </w:pPr>
      <w:r>
        <w:rPr>
          <w:rFonts w:hint="eastAsia" w:ascii="宋体" w:hAnsi="宋体" w:eastAsia="宋体" w:cs="宋体"/>
          <w:szCs w:val="21"/>
        </w:rPr>
        <w:t>（11）</w:t>
      </w:r>
      <w:r>
        <w:rPr>
          <w:rFonts w:ascii="宋体" w:hAnsi="宋体" w:eastAsia="宋体" w:cs="宋体"/>
          <w:szCs w:val="21"/>
        </w:rPr>
        <w:t>生产防火门、窗型式认可证书</w:t>
      </w:r>
      <w:r>
        <w:rPr>
          <w:rFonts w:hint="eastAsia" w:ascii="宋体" w:hAnsi="宋体" w:eastAsia="宋体" w:cs="宋体"/>
          <w:szCs w:val="21"/>
        </w:rPr>
        <w:t>；</w:t>
      </w:r>
    </w:p>
    <w:p>
      <w:pPr>
        <w:spacing w:after="120"/>
        <w:ind w:firstLine="420" w:firstLineChars="200"/>
        <w:rPr>
          <w:rFonts w:ascii="宋体" w:hAnsi="宋体" w:eastAsia="宋体" w:cs="宋体"/>
          <w:szCs w:val="21"/>
        </w:rPr>
      </w:pPr>
      <w:r>
        <w:rPr>
          <w:rFonts w:hint="eastAsia" w:ascii="宋体" w:hAnsi="宋体" w:eastAsia="宋体" w:cs="宋体"/>
          <w:szCs w:val="21"/>
        </w:rPr>
        <w:t>（12）经国家认可的第三方权威检测机构出具的所投防火门（甲级、乙级、丙级）和防火窗（乙级）有效期内的型式检验（检测）报告；</w:t>
      </w:r>
    </w:p>
    <w:p>
      <w:pPr>
        <w:spacing w:after="120"/>
        <w:ind w:firstLine="420" w:firstLineChars="200"/>
        <w:rPr>
          <w:rFonts w:ascii="宋体" w:hAnsi="宋体" w:eastAsia="宋体" w:cs="宋体"/>
          <w:szCs w:val="21"/>
        </w:rPr>
      </w:pPr>
      <w:r>
        <w:rPr>
          <w:rFonts w:ascii="宋体" w:hAnsi="宋体" w:eastAsia="宋体" w:cs="宋体"/>
          <w:szCs w:val="21"/>
        </w:rPr>
        <w:t>（</w:t>
      </w:r>
      <w:r>
        <w:rPr>
          <w:rFonts w:hint="eastAsia" w:ascii="宋体" w:hAnsi="宋体" w:eastAsia="宋体" w:cs="宋体"/>
          <w:szCs w:val="21"/>
        </w:rPr>
        <w:t>13</w:t>
      </w:r>
      <w:r>
        <w:rPr>
          <w:rFonts w:ascii="宋体" w:hAnsi="宋体" w:eastAsia="宋体" w:cs="宋体"/>
          <w:szCs w:val="21"/>
        </w:rPr>
        <w:t>）</w:t>
      </w:r>
      <w:r>
        <w:rPr>
          <w:rFonts w:hint="eastAsia" w:ascii="宋体" w:hAnsi="宋体" w:eastAsia="宋体" w:cs="宋体"/>
          <w:szCs w:val="21"/>
        </w:rPr>
        <w:t>消防设施工程专业承包资质证书；</w:t>
      </w:r>
    </w:p>
    <w:p>
      <w:pPr>
        <w:spacing w:after="120"/>
        <w:ind w:firstLine="420" w:firstLineChars="200"/>
        <w:rPr>
          <w:rFonts w:ascii="宋体" w:hAnsi="宋体" w:eastAsia="宋体" w:cs="宋体"/>
          <w:szCs w:val="21"/>
        </w:rPr>
      </w:pPr>
      <w:r>
        <w:rPr>
          <w:rFonts w:hint="eastAsia" w:ascii="宋体" w:hAnsi="宋体" w:eastAsia="宋体" w:cs="宋体"/>
          <w:szCs w:val="21"/>
        </w:rPr>
        <w:t>（14）</w:t>
      </w:r>
      <w:r>
        <w:rPr>
          <w:rFonts w:ascii="宋体" w:hAnsi="宋体" w:eastAsia="宋体" w:cs="宋体"/>
          <w:szCs w:val="21"/>
        </w:rPr>
        <w:t>企业安全生产许可证；</w:t>
      </w:r>
    </w:p>
    <w:p>
      <w:pPr>
        <w:spacing w:after="120"/>
        <w:ind w:firstLine="420" w:firstLineChars="200"/>
        <w:rPr>
          <w:rFonts w:ascii="宋体" w:hAnsi="宋体" w:eastAsia="宋体" w:cs="宋体"/>
          <w:szCs w:val="21"/>
        </w:rPr>
      </w:pPr>
      <w:r>
        <w:rPr>
          <w:rFonts w:hint="eastAsia" w:ascii="宋体" w:hAnsi="宋体" w:eastAsia="宋体" w:cs="宋体"/>
          <w:szCs w:val="21"/>
        </w:rPr>
        <w:t>（15）项目负责人建造师注册证书安全生产考核合格证书（B证）；</w:t>
      </w:r>
    </w:p>
    <w:p>
      <w:pPr>
        <w:spacing w:after="120"/>
        <w:ind w:firstLine="420" w:firstLineChars="200"/>
        <w:rPr>
          <w:rFonts w:ascii="宋体" w:hAnsi="宋体" w:eastAsia="宋体" w:cs="宋体"/>
          <w:szCs w:val="21"/>
        </w:rPr>
      </w:pPr>
      <w:r>
        <w:rPr>
          <w:rFonts w:hint="eastAsia" w:ascii="宋体" w:hAnsi="宋体" w:eastAsia="宋体" w:cs="宋体"/>
          <w:szCs w:val="21"/>
        </w:rPr>
        <w:t>（16）业绩</w:t>
      </w:r>
      <w:r>
        <w:rPr>
          <w:rFonts w:ascii="宋体" w:hAnsi="宋体" w:eastAsia="宋体" w:cs="宋体"/>
          <w:szCs w:val="21"/>
        </w:rPr>
        <w:t>证明材料（提供合同原件、发票原件、国家税务总局全国增值税发票查验平台查验截图）；</w:t>
      </w:r>
    </w:p>
    <w:p>
      <w:pPr>
        <w:spacing w:after="120"/>
        <w:rPr>
          <w:rFonts w:ascii="宋体" w:hAnsi="宋体" w:eastAsia="宋体" w:cs="宋体"/>
          <w:szCs w:val="21"/>
        </w:rPr>
      </w:pPr>
      <w:r>
        <w:rPr>
          <w:rFonts w:hint="eastAsia" w:ascii="宋体" w:hAnsi="宋体" w:eastAsia="宋体" w:cs="宋体"/>
          <w:szCs w:val="21"/>
        </w:rPr>
        <w:t>（17）真实性承诺书；</w:t>
      </w:r>
    </w:p>
    <w:p>
      <w:pPr>
        <w:tabs>
          <w:tab w:val="left" w:pos="1300"/>
          <w:tab w:val="left" w:pos="1600"/>
        </w:tabs>
        <w:spacing w:line="380" w:lineRule="exact"/>
        <w:ind w:firstLine="420" w:firstLineChars="200"/>
        <w:rPr>
          <w:rFonts w:ascii="Calibri" w:hAnsi="Calibri" w:eastAsia="宋体" w:cs="Times New Roman"/>
          <w:szCs w:val="21"/>
        </w:rPr>
      </w:pPr>
      <w:r>
        <w:rPr>
          <w:rFonts w:hint="eastAsia" w:ascii="宋体" w:hAnsi="宋体" w:eastAsia="宋体" w:cs="宋体"/>
          <w:szCs w:val="21"/>
        </w:rPr>
        <w:t>（18）投标人认为其他需要提供的材料</w:t>
      </w:r>
    </w:p>
    <w:p>
      <w:pPr>
        <w:spacing w:line="380" w:lineRule="exact"/>
        <w:outlineLvl w:val="2"/>
        <w:rPr>
          <w:rFonts w:ascii="Calibri" w:hAnsi="Calibri" w:eastAsia="Calibri" w:cs="Times New Roman"/>
          <w:b/>
          <w:bCs/>
          <w:sz w:val="28"/>
          <w:szCs w:val="28"/>
        </w:rPr>
      </w:pPr>
      <w:r>
        <w:rPr>
          <w:rFonts w:hint="eastAsia" w:ascii="Calibri" w:hAnsi="Calibri" w:eastAsia="宋体" w:cs="Times New Roman"/>
          <w:b/>
          <w:bCs/>
          <w:sz w:val="28"/>
          <w:szCs w:val="28"/>
        </w:rPr>
        <w:t>3</w:t>
      </w:r>
      <w:r>
        <w:rPr>
          <w:rFonts w:hint="eastAsia" w:ascii="Calibri" w:hAnsi="Calibri" w:eastAsia="Calibri" w:cs="Times New Roman"/>
          <w:b/>
          <w:bCs/>
          <w:sz w:val="28"/>
          <w:szCs w:val="28"/>
        </w:rPr>
        <w:t xml:space="preserve">.6 </w:t>
      </w:r>
      <w:r>
        <w:rPr>
          <w:rFonts w:hint="eastAsia" w:ascii="宋体" w:hAnsi="宋体" w:eastAsia="宋体" w:cs="宋体"/>
          <w:b/>
          <w:bCs/>
          <w:sz w:val="28"/>
          <w:szCs w:val="28"/>
        </w:rPr>
        <w:t>备选投标方案</w:t>
      </w:r>
      <w:bookmarkEnd w:id="76"/>
      <w:bookmarkEnd w:id="77"/>
      <w:bookmarkEnd w:id="78"/>
      <w:bookmarkEnd w:id="79"/>
    </w:p>
    <w:p>
      <w:pPr>
        <w:spacing w:line="380" w:lineRule="exact"/>
        <w:ind w:firstLine="420"/>
        <w:rPr>
          <w:rFonts w:ascii="Calibri" w:hAnsi="Calibri" w:eastAsia="宋体" w:cs="Times New Roman"/>
          <w:szCs w:val="21"/>
        </w:rPr>
      </w:pPr>
      <w:r>
        <w:rPr>
          <w:rFonts w:ascii="Calibri" w:hAnsi="Calibri" w:eastAsia="宋体" w:cs="Times New Roman"/>
          <w:szCs w:val="21"/>
        </w:rPr>
        <w:t>除</w:t>
      </w:r>
      <w:r>
        <w:rPr>
          <w:rFonts w:hint="eastAsia" w:ascii="Calibri" w:hAnsi="Calibri" w:eastAsia="宋体" w:cs="Times New Roman"/>
          <w:szCs w:val="21"/>
        </w:rPr>
        <w:t>“</w:t>
      </w:r>
      <w:r>
        <w:rPr>
          <w:rFonts w:ascii="Calibri" w:hAnsi="Calibri" w:eastAsia="宋体" w:cs="Times New Roman"/>
          <w:szCs w:val="21"/>
        </w:rPr>
        <w:t>投标人须知前附表</w:t>
      </w:r>
      <w:r>
        <w:rPr>
          <w:rFonts w:hint="eastAsia" w:ascii="Calibri" w:hAnsi="Calibri" w:eastAsia="宋体" w:cs="Times New Roman"/>
          <w:szCs w:val="21"/>
        </w:rPr>
        <w:t>”</w:t>
      </w:r>
      <w:r>
        <w:rPr>
          <w:rFonts w:ascii="Calibri" w:hAnsi="Calibri" w:eastAsia="宋体" w:cs="Times New Roman"/>
          <w:szCs w:val="21"/>
        </w:rPr>
        <w:t>另有规定外，投标人不得提交备选投标方案。</w:t>
      </w:r>
    </w:p>
    <w:p>
      <w:pPr>
        <w:spacing w:line="380" w:lineRule="exact"/>
        <w:outlineLvl w:val="2"/>
        <w:rPr>
          <w:rFonts w:ascii="Calibri" w:hAnsi="Calibri" w:eastAsia="Calibri" w:cs="Times New Roman"/>
          <w:b/>
          <w:bCs/>
          <w:sz w:val="28"/>
          <w:szCs w:val="28"/>
        </w:rPr>
      </w:pPr>
      <w:bookmarkStart w:id="80" w:name="_Toc397975266"/>
      <w:r>
        <w:rPr>
          <w:rFonts w:hint="eastAsia" w:ascii="Calibri" w:hAnsi="Calibri" w:eastAsia="宋体" w:cs="Times New Roman"/>
          <w:b/>
          <w:bCs/>
          <w:sz w:val="28"/>
          <w:szCs w:val="28"/>
        </w:rPr>
        <w:t>3</w:t>
      </w:r>
      <w:r>
        <w:rPr>
          <w:rFonts w:hint="eastAsia" w:ascii="Calibri" w:hAnsi="Calibri" w:eastAsia="Calibri" w:cs="Times New Roman"/>
          <w:b/>
          <w:bCs/>
          <w:sz w:val="28"/>
          <w:szCs w:val="28"/>
        </w:rPr>
        <w:t xml:space="preserve">.7 </w:t>
      </w:r>
      <w:r>
        <w:rPr>
          <w:rFonts w:hint="eastAsia" w:ascii="宋体" w:hAnsi="宋体" w:eastAsia="宋体" w:cs="宋体"/>
          <w:b/>
          <w:bCs/>
          <w:sz w:val="28"/>
          <w:szCs w:val="28"/>
        </w:rPr>
        <w:t>投标文件的编制</w:t>
      </w:r>
      <w:bookmarkEnd w:id="80"/>
    </w:p>
    <w:p>
      <w:pPr>
        <w:spacing w:line="380" w:lineRule="exact"/>
        <w:ind w:firstLine="420" w:firstLineChars="200"/>
        <w:rPr>
          <w:rFonts w:ascii="Calibri" w:hAnsi="Calibri" w:eastAsia="宋体" w:cs="Calibri"/>
          <w:szCs w:val="21"/>
        </w:rPr>
      </w:pPr>
      <w:r>
        <w:rPr>
          <w:rFonts w:hint="eastAsia" w:ascii="Calibri" w:hAnsi="Calibri" w:eastAsia="宋体" w:cs="Times New Roman"/>
          <w:szCs w:val="21"/>
        </w:rPr>
        <w:t>4.7.1投标文件应按“投标文件格式”进行编写，</w:t>
      </w:r>
      <w:r>
        <w:rPr>
          <w:rFonts w:hint="eastAsia" w:ascii="Calibri" w:hAnsi="Calibri" w:eastAsia="宋体" w:cs="Calibri"/>
          <w:szCs w:val="21"/>
        </w:rPr>
        <w:t>如有必要可自行增加，作为投标文件的组成部分。</w:t>
      </w:r>
    </w:p>
    <w:p>
      <w:pPr>
        <w:spacing w:line="380" w:lineRule="exact"/>
        <w:ind w:firstLine="420" w:firstLineChars="200"/>
        <w:rPr>
          <w:rFonts w:ascii="Calibri" w:hAnsi="Calibri" w:eastAsia="宋体" w:cs="Calibri"/>
          <w:szCs w:val="21"/>
        </w:rPr>
      </w:pPr>
      <w:r>
        <w:rPr>
          <w:rFonts w:hint="eastAsia" w:ascii="Calibri" w:hAnsi="Calibri" w:eastAsia="宋体" w:cs="Times New Roman"/>
          <w:szCs w:val="21"/>
        </w:rPr>
        <w:t>4.7.2</w:t>
      </w:r>
      <w:r>
        <w:rPr>
          <w:rFonts w:hint="eastAsia" w:ascii="Calibri" w:hAnsi="Calibri" w:eastAsia="宋体" w:cs="Calibri"/>
          <w:szCs w:val="21"/>
        </w:rPr>
        <w:t>电子投标文件应使用“电子招标投标交易平台”可接受的投标文件制作工具进行编制、签章和加密，并在投标截止期前上传至 “电子招标投标交易平台”中。</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4</w:t>
      </w:r>
      <w:r>
        <w:rPr>
          <w:rFonts w:ascii="Calibri" w:hAnsi="Calibri" w:eastAsia="宋体" w:cs="Times New Roman"/>
          <w:szCs w:val="21"/>
        </w:rPr>
        <w:t>.</w:t>
      </w:r>
      <w:r>
        <w:rPr>
          <w:rFonts w:hint="eastAsia" w:ascii="Calibri" w:hAnsi="Calibri" w:eastAsia="宋体" w:cs="Times New Roman"/>
          <w:szCs w:val="21"/>
        </w:rPr>
        <w:t>7</w:t>
      </w:r>
      <w:r>
        <w:rPr>
          <w:rFonts w:ascii="Calibri" w:hAnsi="Calibri" w:eastAsia="宋体" w:cs="Times New Roman"/>
          <w:szCs w:val="21"/>
        </w:rPr>
        <w:t>.</w:t>
      </w:r>
      <w:r>
        <w:rPr>
          <w:rFonts w:hint="eastAsia" w:ascii="Calibri" w:hAnsi="Calibri" w:eastAsia="宋体" w:cs="Times New Roman"/>
          <w:szCs w:val="21"/>
        </w:rPr>
        <w:t>3投标文件应当对招标文件有关工期、投标有效期、质量要求、技术标准和要求、招标范围等实质性内容作出响应。</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4.7.4电子投标文件中投标函、授权委托书（如有）加盖数字证书中的电子签章。</w:t>
      </w:r>
    </w:p>
    <w:p>
      <w:pPr>
        <w:spacing w:line="380" w:lineRule="exact"/>
        <w:rPr>
          <w:rFonts w:ascii="Calibri" w:hAnsi="Calibri" w:eastAsia="宋体" w:cs="Times New Roman"/>
          <w:b/>
          <w:sz w:val="28"/>
          <w:szCs w:val="28"/>
        </w:rPr>
      </w:pPr>
      <w:bookmarkStart w:id="81" w:name="_Toc369077564"/>
      <w:bookmarkStart w:id="82" w:name="_Toc367894801"/>
      <w:bookmarkStart w:id="83" w:name="_Toc184635074"/>
      <w:bookmarkStart w:id="84" w:name="_Toc368759378"/>
      <w:bookmarkStart w:id="85" w:name="_Toc397975267"/>
      <w:bookmarkStart w:id="86" w:name="_Toc368760430"/>
      <w:bookmarkStart w:id="87" w:name="_Toc363329373"/>
      <w:bookmarkStart w:id="88" w:name="_Toc367894802"/>
      <w:bookmarkStart w:id="89" w:name="_Toc363329374"/>
      <w:bookmarkStart w:id="90" w:name="_Toc368759379"/>
      <w:bookmarkStart w:id="91" w:name="_Toc184635075"/>
      <w:r>
        <w:rPr>
          <w:rFonts w:hint="eastAsia" w:ascii="Calibri" w:hAnsi="Calibri" w:eastAsia="宋体" w:cs="Times New Roman"/>
          <w:b/>
          <w:sz w:val="28"/>
          <w:szCs w:val="28"/>
        </w:rPr>
        <w:t>4</w:t>
      </w:r>
      <w:r>
        <w:rPr>
          <w:rFonts w:ascii="Calibri" w:hAnsi="Calibri" w:eastAsia="宋体" w:cs="Times New Roman"/>
          <w:b/>
          <w:sz w:val="28"/>
          <w:szCs w:val="28"/>
        </w:rPr>
        <w:t>.</w:t>
      </w:r>
      <w:r>
        <w:rPr>
          <w:rFonts w:hint="eastAsia" w:ascii="Calibri" w:hAnsi="Calibri" w:eastAsia="宋体" w:cs="Times New Roman"/>
          <w:b/>
          <w:sz w:val="28"/>
          <w:szCs w:val="28"/>
        </w:rPr>
        <w:t xml:space="preserve"> </w:t>
      </w:r>
      <w:r>
        <w:rPr>
          <w:rFonts w:ascii="Calibri" w:hAnsi="Calibri" w:eastAsia="宋体" w:cs="Times New Roman"/>
          <w:b/>
          <w:sz w:val="28"/>
          <w:szCs w:val="28"/>
        </w:rPr>
        <w:t>投标</w:t>
      </w:r>
      <w:bookmarkEnd w:id="81"/>
      <w:bookmarkEnd w:id="82"/>
      <w:bookmarkEnd w:id="83"/>
      <w:bookmarkEnd w:id="84"/>
      <w:bookmarkEnd w:id="85"/>
      <w:bookmarkEnd w:id="86"/>
      <w:bookmarkEnd w:id="87"/>
    </w:p>
    <w:p>
      <w:pPr>
        <w:spacing w:line="380" w:lineRule="exact"/>
        <w:outlineLvl w:val="2"/>
        <w:rPr>
          <w:rFonts w:ascii="Calibri" w:hAnsi="Calibri" w:eastAsia="Calibri" w:cs="Times New Roman"/>
          <w:b/>
          <w:bCs/>
          <w:sz w:val="28"/>
          <w:szCs w:val="28"/>
        </w:rPr>
      </w:pPr>
      <w:bookmarkStart w:id="92" w:name="_Toc397975269"/>
      <w:r>
        <w:rPr>
          <w:rFonts w:hint="eastAsia" w:ascii="Calibri" w:hAnsi="Calibri" w:eastAsia="宋体" w:cs="Times New Roman"/>
          <w:b/>
          <w:bCs/>
          <w:sz w:val="28"/>
          <w:szCs w:val="28"/>
        </w:rPr>
        <w:t>4</w:t>
      </w:r>
      <w:r>
        <w:rPr>
          <w:rFonts w:ascii="Calibri" w:hAnsi="Calibri" w:eastAsia="Calibri" w:cs="Times New Roman"/>
          <w:b/>
          <w:bCs/>
          <w:sz w:val="28"/>
          <w:szCs w:val="28"/>
        </w:rPr>
        <w:t>.</w:t>
      </w:r>
      <w:r>
        <w:rPr>
          <w:rFonts w:hint="eastAsia" w:ascii="Calibri" w:hAnsi="Calibri" w:eastAsia="宋体" w:cs="Times New Roman"/>
          <w:b/>
          <w:bCs/>
          <w:sz w:val="28"/>
          <w:szCs w:val="28"/>
        </w:rPr>
        <w:t>1</w:t>
      </w:r>
      <w:r>
        <w:rPr>
          <w:rFonts w:ascii="Calibri" w:hAnsi="Calibri" w:eastAsia="Calibri" w:cs="Times New Roman"/>
          <w:b/>
          <w:bCs/>
          <w:sz w:val="28"/>
          <w:szCs w:val="28"/>
        </w:rPr>
        <w:t xml:space="preserve"> </w:t>
      </w:r>
      <w:r>
        <w:rPr>
          <w:rFonts w:hint="eastAsia" w:ascii="宋体" w:hAnsi="宋体" w:eastAsia="宋体" w:cs="宋体"/>
          <w:b/>
          <w:bCs/>
          <w:sz w:val="28"/>
          <w:szCs w:val="28"/>
        </w:rPr>
        <w:t>投标文件的递交</w:t>
      </w:r>
      <w:bookmarkEnd w:id="92"/>
    </w:p>
    <w:p>
      <w:pPr>
        <w:spacing w:line="380" w:lineRule="exact"/>
        <w:ind w:firstLine="420"/>
        <w:rPr>
          <w:rFonts w:ascii="Calibri" w:hAnsi="Calibri" w:eastAsia="宋体" w:cs="Times New Roman"/>
          <w:szCs w:val="21"/>
        </w:rPr>
      </w:pPr>
      <w:r>
        <w:rPr>
          <w:rFonts w:hint="eastAsia" w:ascii="Calibri" w:hAnsi="Calibri" w:eastAsia="宋体" w:cs="Times New Roman"/>
          <w:szCs w:val="21"/>
        </w:rPr>
        <w:t>4.1.1</w:t>
      </w:r>
      <w:r>
        <w:rPr>
          <w:rFonts w:hint="eastAsia" w:ascii="Calibri" w:hAnsi="Calibri" w:eastAsia="宋体" w:cs="Calibri"/>
          <w:szCs w:val="21"/>
        </w:rPr>
        <w:t>投标人应在投标截止时间前，通过</w:t>
      </w:r>
      <w:r>
        <w:rPr>
          <w:rFonts w:hint="eastAsia" w:ascii="Calibri" w:hAnsi="Calibri" w:eastAsia="宋体" w:cs="Times New Roman"/>
          <w:szCs w:val="21"/>
        </w:rPr>
        <w:t>“</w:t>
      </w:r>
      <w:r>
        <w:rPr>
          <w:rFonts w:hint="eastAsia" w:ascii="Calibri" w:hAnsi="Calibri" w:eastAsia="宋体" w:cs="Calibri"/>
          <w:szCs w:val="21"/>
        </w:rPr>
        <w:t>电子招标投标交易平台</w:t>
      </w:r>
      <w:r>
        <w:rPr>
          <w:rFonts w:hint="eastAsia" w:ascii="Calibri" w:hAnsi="Calibri" w:eastAsia="宋体" w:cs="Times New Roman"/>
          <w:szCs w:val="21"/>
        </w:rPr>
        <w:t>”</w:t>
      </w:r>
      <w:r>
        <w:rPr>
          <w:rFonts w:hint="eastAsia" w:ascii="Calibri" w:hAnsi="Calibri" w:eastAsia="宋体" w:cs="Calibri"/>
          <w:szCs w:val="21"/>
        </w:rPr>
        <w:t>递交加密后的电子投标文件。</w:t>
      </w:r>
    </w:p>
    <w:p>
      <w:pPr>
        <w:spacing w:line="380" w:lineRule="exact"/>
        <w:ind w:firstLine="420"/>
        <w:rPr>
          <w:rFonts w:ascii="Calibri" w:hAnsi="Calibri" w:eastAsia="宋体" w:cs="Calibri"/>
          <w:szCs w:val="21"/>
        </w:rPr>
      </w:pPr>
      <w:r>
        <w:rPr>
          <w:rFonts w:hint="eastAsia" w:ascii="Calibri" w:hAnsi="Calibri" w:eastAsia="宋体" w:cs="Times New Roman"/>
          <w:szCs w:val="21"/>
        </w:rPr>
        <w:t>4.1.2</w:t>
      </w:r>
      <w:r>
        <w:rPr>
          <w:rFonts w:hint="eastAsia" w:ascii="Calibri" w:hAnsi="Calibri" w:eastAsia="宋体" w:cs="Calibri"/>
          <w:szCs w:val="21"/>
        </w:rPr>
        <w:t>通过</w:t>
      </w:r>
      <w:r>
        <w:rPr>
          <w:rFonts w:hint="eastAsia" w:ascii="Calibri" w:hAnsi="Calibri" w:eastAsia="宋体" w:cs="Times New Roman"/>
          <w:szCs w:val="21"/>
        </w:rPr>
        <w:t>“</w:t>
      </w:r>
      <w:r>
        <w:rPr>
          <w:rFonts w:hint="eastAsia" w:ascii="Calibri" w:hAnsi="Calibri" w:eastAsia="宋体" w:cs="Calibri"/>
          <w:szCs w:val="21"/>
        </w:rPr>
        <w:t>电子招标投标交易平台</w:t>
      </w:r>
      <w:r>
        <w:rPr>
          <w:rFonts w:hint="eastAsia" w:ascii="Calibri" w:hAnsi="Calibri" w:eastAsia="宋体" w:cs="Times New Roman"/>
          <w:szCs w:val="21"/>
        </w:rPr>
        <w:t>”</w:t>
      </w:r>
      <w:r>
        <w:rPr>
          <w:rFonts w:hint="eastAsia" w:ascii="Calibri" w:hAnsi="Calibri" w:eastAsia="宋体" w:cs="Calibri"/>
          <w:szCs w:val="21"/>
        </w:rPr>
        <w:t>中上传的电子投标文件应使用数字证书认证并加密，未按要求加密和数字证书认证的投标文件，招标人不予受理。</w:t>
      </w:r>
    </w:p>
    <w:p>
      <w:pPr>
        <w:spacing w:line="380" w:lineRule="exact"/>
        <w:ind w:firstLine="420"/>
        <w:rPr>
          <w:rFonts w:ascii="Calibri" w:hAnsi="Calibri" w:eastAsia="宋体" w:cs="Times New Roman"/>
          <w:szCs w:val="21"/>
        </w:rPr>
      </w:pPr>
      <w:r>
        <w:rPr>
          <w:rFonts w:hint="eastAsia" w:ascii="Calibri" w:hAnsi="Calibri" w:eastAsia="宋体" w:cs="Calibri"/>
          <w:szCs w:val="21"/>
        </w:rPr>
        <w:t>4.1.3</w:t>
      </w:r>
      <w:r>
        <w:rPr>
          <w:rFonts w:hint="eastAsia" w:ascii="Calibri" w:hAnsi="Calibri" w:eastAsia="宋体" w:cs="Times New Roman"/>
          <w:szCs w:val="21"/>
        </w:rPr>
        <w:t>除投标人须知前附表另有规定外，投标人所递交的投标文件不予退还。</w:t>
      </w:r>
    </w:p>
    <w:p>
      <w:pPr>
        <w:spacing w:line="380" w:lineRule="exact"/>
        <w:outlineLvl w:val="2"/>
        <w:rPr>
          <w:rFonts w:ascii="Calibri" w:hAnsi="Calibri" w:eastAsia="Calibri" w:cs="Times New Roman"/>
          <w:b/>
          <w:bCs/>
          <w:sz w:val="28"/>
          <w:szCs w:val="28"/>
        </w:rPr>
      </w:pPr>
      <w:bookmarkStart w:id="93" w:name="_Toc397975270"/>
      <w:r>
        <w:rPr>
          <w:rFonts w:hint="eastAsia" w:ascii="Calibri" w:hAnsi="Calibri" w:eastAsia="宋体" w:cs="Times New Roman"/>
          <w:b/>
          <w:bCs/>
          <w:sz w:val="28"/>
          <w:szCs w:val="28"/>
        </w:rPr>
        <w:t>4</w:t>
      </w:r>
      <w:r>
        <w:rPr>
          <w:rFonts w:hint="eastAsia" w:ascii="Calibri" w:hAnsi="Calibri" w:eastAsia="Calibri" w:cs="Times New Roman"/>
          <w:b/>
          <w:bCs/>
          <w:sz w:val="28"/>
          <w:szCs w:val="28"/>
        </w:rPr>
        <w:t>.</w:t>
      </w:r>
      <w:r>
        <w:rPr>
          <w:rFonts w:hint="eastAsia" w:ascii="Calibri" w:hAnsi="Calibri" w:eastAsia="宋体" w:cs="Times New Roman"/>
          <w:b/>
          <w:bCs/>
          <w:sz w:val="28"/>
          <w:szCs w:val="28"/>
        </w:rPr>
        <w:t>2</w:t>
      </w:r>
      <w:r>
        <w:rPr>
          <w:rFonts w:hint="eastAsia" w:ascii="Calibri" w:hAnsi="Calibri" w:eastAsia="Calibri" w:cs="Times New Roman"/>
          <w:b/>
          <w:bCs/>
          <w:sz w:val="28"/>
          <w:szCs w:val="28"/>
        </w:rPr>
        <w:t xml:space="preserve"> </w:t>
      </w:r>
      <w:r>
        <w:rPr>
          <w:rFonts w:hint="eastAsia" w:ascii="宋体" w:hAnsi="宋体" w:eastAsia="宋体" w:cs="宋体"/>
          <w:b/>
          <w:bCs/>
          <w:sz w:val="28"/>
          <w:szCs w:val="28"/>
        </w:rPr>
        <w:t>投标文件的修改与撤回</w:t>
      </w:r>
      <w:bookmarkEnd w:id="93"/>
    </w:p>
    <w:p>
      <w:pPr>
        <w:spacing w:line="380" w:lineRule="exact"/>
        <w:ind w:firstLine="420" w:firstLineChars="200"/>
        <w:rPr>
          <w:rFonts w:ascii="Calibri" w:hAnsi="Calibri" w:eastAsia="宋体" w:cs="Calibri"/>
          <w:szCs w:val="21"/>
        </w:rPr>
      </w:pPr>
      <w:r>
        <w:rPr>
          <w:rFonts w:hint="eastAsia" w:ascii="Calibri" w:hAnsi="Calibri" w:eastAsia="宋体" w:cs="Calibri"/>
          <w:szCs w:val="21"/>
        </w:rPr>
        <w:t>在投标截止时间前，投标人可以修改或撤回已递交的投标文件。</w:t>
      </w:r>
    </w:p>
    <w:p>
      <w:pPr>
        <w:spacing w:line="380" w:lineRule="exact"/>
        <w:outlineLvl w:val="2"/>
        <w:rPr>
          <w:rFonts w:ascii="Calibri" w:hAnsi="Calibri" w:eastAsia="Calibri" w:cs="Times New Roman"/>
          <w:b/>
          <w:bCs/>
          <w:sz w:val="28"/>
          <w:szCs w:val="28"/>
        </w:rPr>
      </w:pPr>
      <w:bookmarkStart w:id="94" w:name="_Toc397975271"/>
      <w:r>
        <w:rPr>
          <w:rFonts w:hint="eastAsia" w:ascii="Calibri" w:hAnsi="Calibri" w:eastAsia="宋体" w:cs="Times New Roman"/>
          <w:b/>
          <w:bCs/>
          <w:sz w:val="28"/>
          <w:szCs w:val="28"/>
        </w:rPr>
        <w:t>4</w:t>
      </w:r>
      <w:r>
        <w:rPr>
          <w:rFonts w:hint="eastAsia" w:ascii="Calibri" w:hAnsi="Calibri" w:eastAsia="Calibri" w:cs="Times New Roman"/>
          <w:b/>
          <w:bCs/>
          <w:sz w:val="28"/>
          <w:szCs w:val="28"/>
        </w:rPr>
        <w:t>.</w:t>
      </w:r>
      <w:r>
        <w:rPr>
          <w:rFonts w:hint="eastAsia" w:ascii="Calibri" w:hAnsi="Calibri" w:eastAsia="宋体" w:cs="Times New Roman"/>
          <w:b/>
          <w:bCs/>
          <w:sz w:val="28"/>
          <w:szCs w:val="28"/>
        </w:rPr>
        <w:t>3</w:t>
      </w:r>
      <w:r>
        <w:rPr>
          <w:rFonts w:hint="eastAsia" w:ascii="Calibri" w:hAnsi="Calibri" w:eastAsia="Calibri" w:cs="Times New Roman"/>
          <w:b/>
          <w:bCs/>
          <w:sz w:val="28"/>
          <w:szCs w:val="28"/>
        </w:rPr>
        <w:t xml:space="preserve"> </w:t>
      </w:r>
      <w:r>
        <w:rPr>
          <w:rFonts w:hint="eastAsia" w:ascii="宋体" w:hAnsi="宋体" w:eastAsia="宋体" w:cs="宋体"/>
          <w:b/>
          <w:bCs/>
          <w:sz w:val="28"/>
          <w:szCs w:val="28"/>
        </w:rPr>
        <w:t>不予接收的投标文件</w:t>
      </w:r>
      <w:bookmarkEnd w:id="94"/>
    </w:p>
    <w:p>
      <w:pPr>
        <w:spacing w:line="380" w:lineRule="exact"/>
        <w:ind w:firstLine="420"/>
        <w:rPr>
          <w:rFonts w:ascii="Calibri" w:hAnsi="Calibri" w:eastAsia="宋体" w:cs="Calibri"/>
          <w:szCs w:val="21"/>
        </w:rPr>
      </w:pPr>
      <w:r>
        <w:rPr>
          <w:rFonts w:hint="eastAsia" w:ascii="Calibri" w:hAnsi="Calibri" w:eastAsia="宋体" w:cs="Calibri"/>
          <w:szCs w:val="21"/>
        </w:rPr>
        <w:t>逾期上传投标文件的，招标人不予受理。</w:t>
      </w:r>
    </w:p>
    <w:p>
      <w:pPr>
        <w:spacing w:line="380" w:lineRule="exact"/>
        <w:jc w:val="left"/>
        <w:outlineLvl w:val="1"/>
        <w:rPr>
          <w:rFonts w:ascii="Calibri" w:hAnsi="Calibri" w:eastAsia="Calibri" w:cs="Times New Roman"/>
          <w:b/>
          <w:kern w:val="0"/>
          <w:sz w:val="28"/>
          <w:szCs w:val="28"/>
        </w:rPr>
      </w:pPr>
      <w:bookmarkStart w:id="95" w:name="_Toc368760431"/>
      <w:bookmarkStart w:id="96" w:name="_Toc369077565"/>
      <w:bookmarkStart w:id="97" w:name="_Toc397975272"/>
      <w:bookmarkStart w:id="98" w:name="_Toc152045566"/>
      <w:bookmarkStart w:id="99" w:name="_Toc144974534"/>
      <w:bookmarkStart w:id="100" w:name="_Toc246996953"/>
      <w:bookmarkStart w:id="101" w:name="_Toc152042342"/>
      <w:bookmarkStart w:id="102" w:name="_Toc368759381"/>
      <w:bookmarkStart w:id="103" w:name="_Toc366679697"/>
      <w:bookmarkStart w:id="104" w:name="_Toc179632584"/>
      <w:bookmarkStart w:id="105" w:name="_Toc246996210"/>
      <w:bookmarkStart w:id="106" w:name="_Toc247085724"/>
      <w:r>
        <w:rPr>
          <w:rFonts w:hint="eastAsia" w:ascii="Calibri" w:hAnsi="Calibri" w:eastAsia="宋体" w:cs="Times New Roman"/>
          <w:b/>
          <w:kern w:val="0"/>
          <w:sz w:val="28"/>
          <w:szCs w:val="28"/>
        </w:rPr>
        <w:t>5</w:t>
      </w:r>
      <w:r>
        <w:rPr>
          <w:rFonts w:ascii="Calibri" w:hAnsi="Calibri" w:eastAsia="Calibri" w:cs="Times New Roman"/>
          <w:b/>
          <w:kern w:val="0"/>
          <w:sz w:val="28"/>
          <w:szCs w:val="28"/>
        </w:rPr>
        <w:t>.</w:t>
      </w:r>
      <w:r>
        <w:rPr>
          <w:rFonts w:hint="eastAsia" w:ascii="Calibri" w:hAnsi="Calibri" w:eastAsia="Calibri" w:cs="Times New Roman"/>
          <w:b/>
          <w:kern w:val="0"/>
          <w:sz w:val="28"/>
          <w:szCs w:val="28"/>
        </w:rPr>
        <w:t xml:space="preserve"> </w:t>
      </w:r>
      <w:r>
        <w:rPr>
          <w:rFonts w:hint="eastAsia" w:ascii="宋体" w:hAnsi="宋体" w:eastAsia="宋体" w:cs="宋体"/>
          <w:b/>
          <w:kern w:val="0"/>
          <w:sz w:val="28"/>
          <w:szCs w:val="28"/>
        </w:rPr>
        <w:t>开标</w:t>
      </w:r>
      <w:bookmarkEnd w:id="95"/>
      <w:bookmarkEnd w:id="96"/>
      <w:bookmarkEnd w:id="97"/>
    </w:p>
    <w:p>
      <w:pPr>
        <w:spacing w:line="380" w:lineRule="exact"/>
        <w:outlineLvl w:val="2"/>
        <w:rPr>
          <w:rFonts w:ascii="Calibri" w:hAnsi="Calibri" w:eastAsia="Calibri" w:cs="Times New Roman"/>
          <w:b/>
          <w:bCs/>
          <w:sz w:val="28"/>
          <w:szCs w:val="28"/>
        </w:rPr>
      </w:pPr>
      <w:bookmarkStart w:id="107" w:name="_Toc397975273"/>
      <w:r>
        <w:rPr>
          <w:rFonts w:hint="eastAsia" w:ascii="Calibri" w:hAnsi="Calibri" w:eastAsia="宋体" w:cs="Times New Roman"/>
          <w:b/>
          <w:bCs/>
          <w:sz w:val="28"/>
          <w:szCs w:val="28"/>
        </w:rPr>
        <w:t>5</w:t>
      </w:r>
      <w:r>
        <w:rPr>
          <w:rFonts w:ascii="Calibri" w:hAnsi="Calibri" w:eastAsia="Calibri" w:cs="Times New Roman"/>
          <w:b/>
          <w:bCs/>
          <w:sz w:val="28"/>
          <w:szCs w:val="28"/>
        </w:rPr>
        <w:t xml:space="preserve">.1 </w:t>
      </w:r>
      <w:r>
        <w:rPr>
          <w:rFonts w:hint="eastAsia" w:ascii="宋体" w:hAnsi="宋体" w:eastAsia="宋体" w:cs="宋体"/>
          <w:b/>
          <w:bCs/>
          <w:sz w:val="28"/>
          <w:szCs w:val="28"/>
        </w:rPr>
        <w:t>开标时间和地点</w:t>
      </w:r>
      <w:bookmarkEnd w:id="107"/>
    </w:p>
    <w:p>
      <w:pPr>
        <w:autoSpaceDE w:val="0"/>
        <w:autoSpaceDN w:val="0"/>
        <w:adjustRightInd w:val="0"/>
        <w:spacing w:line="380" w:lineRule="exact"/>
        <w:ind w:firstLine="420" w:firstLineChars="200"/>
        <w:jc w:val="left"/>
        <w:rPr>
          <w:rFonts w:ascii="Calibri" w:hAnsi="Calibri" w:eastAsia="宋体" w:cs="Times New Roman"/>
          <w:szCs w:val="21"/>
        </w:rPr>
      </w:pPr>
      <w:r>
        <w:rPr>
          <w:rFonts w:hint="eastAsia" w:ascii="Calibri" w:hAnsi="Calibri" w:eastAsia="宋体" w:cs="Times New Roman"/>
          <w:szCs w:val="21"/>
        </w:rPr>
        <w:t xml:space="preserve">5.1.1 </w:t>
      </w:r>
      <w:r>
        <w:rPr>
          <w:rFonts w:ascii="Calibri" w:hAnsi="Calibri" w:eastAsia="宋体" w:cs="Times New Roman"/>
          <w:szCs w:val="21"/>
        </w:rPr>
        <w:t>招标人</w:t>
      </w:r>
      <w:r>
        <w:rPr>
          <w:rFonts w:hint="eastAsia" w:ascii="Calibri" w:hAnsi="Calibri" w:eastAsia="宋体" w:cs="Times New Roman"/>
          <w:szCs w:val="21"/>
        </w:rPr>
        <w:t>按</w:t>
      </w:r>
      <w:r>
        <w:rPr>
          <w:rFonts w:ascii="Calibri" w:hAnsi="Calibri" w:eastAsia="宋体" w:cs="Times New Roman"/>
          <w:szCs w:val="21"/>
        </w:rPr>
        <w:t>投标人须知前附表规定的开标时间和地点公开开标。</w:t>
      </w:r>
    </w:p>
    <w:p>
      <w:pPr>
        <w:autoSpaceDE w:val="0"/>
        <w:autoSpaceDN w:val="0"/>
        <w:adjustRightInd w:val="0"/>
        <w:spacing w:line="380" w:lineRule="exact"/>
        <w:ind w:firstLine="420" w:firstLineChars="200"/>
        <w:jc w:val="left"/>
        <w:rPr>
          <w:rFonts w:ascii="Calibri" w:hAnsi="Calibri" w:eastAsia="宋体" w:cs="Times New Roman"/>
          <w:szCs w:val="21"/>
        </w:rPr>
      </w:pPr>
      <w:r>
        <w:rPr>
          <w:rFonts w:hint="eastAsia" w:ascii="Calibri" w:hAnsi="Calibri" w:eastAsia="宋体" w:cs="Times New Roman"/>
          <w:szCs w:val="21"/>
        </w:rPr>
        <w:t xml:space="preserve">5.1.2 </w:t>
      </w:r>
      <w:r>
        <w:rPr>
          <w:rFonts w:hint="eastAsia" w:ascii="Calibri" w:hAnsi="Calibri" w:eastAsia="宋体" w:cs="Calibri"/>
          <w:szCs w:val="21"/>
        </w:rPr>
        <w:t>参加开标会的投标人代表的要求：见投标人须知前附表。</w:t>
      </w:r>
    </w:p>
    <w:p>
      <w:pPr>
        <w:spacing w:line="380" w:lineRule="exact"/>
        <w:outlineLvl w:val="2"/>
        <w:rPr>
          <w:rFonts w:ascii="Calibri" w:hAnsi="Calibri" w:eastAsia="Calibri" w:cs="Times New Roman"/>
          <w:b/>
          <w:bCs/>
          <w:sz w:val="28"/>
          <w:szCs w:val="28"/>
        </w:rPr>
      </w:pPr>
      <w:bookmarkStart w:id="108" w:name="_Toc397975274"/>
      <w:r>
        <w:rPr>
          <w:rFonts w:hint="eastAsia" w:ascii="Calibri" w:hAnsi="Calibri" w:eastAsia="宋体" w:cs="Times New Roman"/>
          <w:b/>
          <w:bCs/>
          <w:sz w:val="28"/>
          <w:szCs w:val="28"/>
        </w:rPr>
        <w:t>5</w:t>
      </w:r>
      <w:r>
        <w:rPr>
          <w:rFonts w:ascii="Calibri" w:hAnsi="Calibri" w:eastAsia="Calibri" w:cs="Times New Roman"/>
          <w:b/>
          <w:bCs/>
          <w:sz w:val="28"/>
          <w:szCs w:val="28"/>
        </w:rPr>
        <w:t xml:space="preserve">.2 </w:t>
      </w:r>
      <w:r>
        <w:rPr>
          <w:rFonts w:hint="eastAsia" w:ascii="宋体" w:hAnsi="宋体" w:eastAsia="宋体" w:cs="宋体"/>
          <w:b/>
          <w:bCs/>
          <w:sz w:val="28"/>
          <w:szCs w:val="28"/>
        </w:rPr>
        <w:t>开标程序</w:t>
      </w:r>
      <w:bookmarkEnd w:id="108"/>
    </w:p>
    <w:p>
      <w:pPr>
        <w:spacing w:line="380" w:lineRule="exact"/>
        <w:ind w:firstLine="420"/>
        <w:rPr>
          <w:rFonts w:ascii="Calibri" w:hAnsi="Calibri" w:eastAsia="宋体" w:cs="Calibri"/>
          <w:szCs w:val="21"/>
        </w:rPr>
      </w:pPr>
      <w:bookmarkStart w:id="109" w:name="_Toc367894803"/>
      <w:bookmarkStart w:id="110" w:name="_Toc368760432"/>
      <w:bookmarkStart w:id="111" w:name="_Toc369077566"/>
      <w:bookmarkStart w:id="112" w:name="_Toc363329375"/>
      <w:bookmarkStart w:id="113" w:name="_Toc368759380"/>
      <w:bookmarkStart w:id="114" w:name="_Toc184635076"/>
      <w:r>
        <w:rPr>
          <w:rFonts w:hint="eastAsia" w:ascii="Calibri" w:hAnsi="Calibri" w:eastAsia="宋体" w:cs="Times New Roman"/>
          <w:szCs w:val="21"/>
        </w:rPr>
        <w:t>5.2.1</w:t>
      </w:r>
      <w:r>
        <w:rPr>
          <w:rFonts w:hint="eastAsia" w:ascii="Calibri" w:hAnsi="Calibri" w:eastAsia="宋体" w:cs="Calibri"/>
          <w:szCs w:val="21"/>
        </w:rPr>
        <w:t>开标程序：见投标人须知前附表。</w:t>
      </w:r>
    </w:p>
    <w:p>
      <w:pPr>
        <w:spacing w:line="380" w:lineRule="exact"/>
        <w:ind w:firstLine="420"/>
        <w:rPr>
          <w:rFonts w:ascii="Calibri" w:hAnsi="Calibri" w:eastAsia="宋体" w:cs="Calibri"/>
          <w:szCs w:val="21"/>
        </w:rPr>
      </w:pPr>
      <w:r>
        <w:rPr>
          <w:rFonts w:hint="eastAsia" w:ascii="Calibri" w:hAnsi="Calibri" w:eastAsia="宋体" w:cs="Calibri"/>
          <w:szCs w:val="21"/>
        </w:rPr>
        <w:t>5.2.2每个投标人应在“投标人须知前附表”规定的时间内完成电子投标文件的解密工作，解密后的电子投标文件将在开标会议上当众进行数据导入。</w:t>
      </w:r>
    </w:p>
    <w:p>
      <w:pPr>
        <w:spacing w:line="380" w:lineRule="exact"/>
        <w:outlineLvl w:val="2"/>
        <w:rPr>
          <w:rFonts w:ascii="Calibri" w:hAnsi="Calibri" w:eastAsia="Calibri" w:cs="Calibri"/>
          <w:b/>
          <w:sz w:val="24"/>
          <w:szCs w:val="20"/>
        </w:rPr>
      </w:pPr>
      <w:r>
        <w:rPr>
          <w:rFonts w:hint="eastAsia" w:ascii="Calibri" w:hAnsi="Calibri" w:eastAsia="宋体" w:cs="Times New Roman"/>
          <w:bCs/>
          <w:sz w:val="28"/>
          <w:szCs w:val="28"/>
        </w:rPr>
        <w:t>5</w:t>
      </w:r>
      <w:r>
        <w:rPr>
          <w:rFonts w:hint="eastAsia" w:ascii="Calibri" w:hAnsi="Calibri" w:eastAsia="Calibri" w:cs="Times New Roman"/>
          <w:bCs/>
          <w:sz w:val="28"/>
          <w:szCs w:val="28"/>
        </w:rPr>
        <w:t>.3</w:t>
      </w:r>
      <w:r>
        <w:rPr>
          <w:rFonts w:hint="eastAsia" w:ascii="宋体" w:hAnsi="宋体" w:eastAsia="宋体" w:cs="宋体"/>
          <w:b/>
          <w:sz w:val="24"/>
          <w:szCs w:val="20"/>
        </w:rPr>
        <w:t>特殊情况处理</w:t>
      </w:r>
    </w:p>
    <w:p>
      <w:pPr>
        <w:spacing w:line="380" w:lineRule="exact"/>
        <w:ind w:firstLine="420" w:firstLineChars="200"/>
        <w:rPr>
          <w:rFonts w:ascii="Calibri" w:hAnsi="Calibri" w:eastAsia="宋体" w:cs="Calibri"/>
          <w:szCs w:val="21"/>
        </w:rPr>
      </w:pPr>
      <w:r>
        <w:rPr>
          <w:rFonts w:hint="eastAsia" w:ascii="Calibri" w:hAnsi="Calibri" w:eastAsia="宋体" w:cs="Calibri"/>
          <w:szCs w:val="21"/>
        </w:rPr>
        <w:t>5.3.1 因投标人原因造成投标文件在规定的时间内未完成解密的，该投标将被拒绝。</w:t>
      </w:r>
    </w:p>
    <w:p>
      <w:pPr>
        <w:spacing w:line="380" w:lineRule="exact"/>
        <w:ind w:firstLine="420" w:firstLineChars="200"/>
        <w:rPr>
          <w:rFonts w:ascii="Calibri" w:hAnsi="Calibri" w:eastAsia="宋体" w:cs="Calibri"/>
          <w:szCs w:val="21"/>
        </w:rPr>
      </w:pPr>
      <w:r>
        <w:rPr>
          <w:rFonts w:hint="eastAsia" w:ascii="Calibri" w:hAnsi="Calibri" w:eastAsia="宋体" w:cs="Calibri"/>
          <w:szCs w:val="21"/>
        </w:rPr>
        <w:t>5.3.2投标人对开标有异议的，应当在开标现场提出，招标人当场予以答复。</w:t>
      </w:r>
    </w:p>
    <w:p>
      <w:pPr>
        <w:autoSpaceDE w:val="0"/>
        <w:autoSpaceDN w:val="0"/>
        <w:adjustRightInd w:val="0"/>
        <w:spacing w:line="380" w:lineRule="exact"/>
        <w:jc w:val="left"/>
        <w:rPr>
          <w:rFonts w:ascii="Calibri" w:hAnsi="Calibri" w:eastAsia="宋体" w:cs="Calibri"/>
          <w:kern w:val="0"/>
          <w:sz w:val="28"/>
          <w:szCs w:val="28"/>
        </w:rPr>
      </w:pPr>
      <w:bookmarkStart w:id="115" w:name="_Toc397975275"/>
      <w:r>
        <w:rPr>
          <w:rFonts w:hint="eastAsia" w:ascii="Calibri" w:hAnsi="Calibri" w:eastAsia="宋体" w:cs="Times New Roman"/>
          <w:b/>
          <w:bCs/>
          <w:sz w:val="28"/>
          <w:szCs w:val="28"/>
        </w:rPr>
        <w:t>6</w:t>
      </w:r>
      <w:r>
        <w:rPr>
          <w:rFonts w:ascii="Calibri" w:hAnsi="Calibri" w:eastAsia="宋体" w:cs="Times New Roman"/>
          <w:b/>
          <w:bCs/>
          <w:sz w:val="28"/>
          <w:szCs w:val="28"/>
        </w:rPr>
        <w:t>.</w:t>
      </w:r>
      <w:r>
        <w:rPr>
          <w:rFonts w:hint="eastAsia" w:ascii="Calibri" w:hAnsi="Calibri" w:eastAsia="宋体" w:cs="Times New Roman"/>
          <w:b/>
          <w:bCs/>
          <w:sz w:val="28"/>
          <w:szCs w:val="28"/>
        </w:rPr>
        <w:t xml:space="preserve"> </w:t>
      </w:r>
      <w:r>
        <w:rPr>
          <w:rFonts w:ascii="Calibri" w:hAnsi="Calibri" w:eastAsia="宋体" w:cs="Times New Roman"/>
          <w:b/>
          <w:bCs/>
          <w:sz w:val="28"/>
          <w:szCs w:val="28"/>
        </w:rPr>
        <w:t>评标</w:t>
      </w:r>
      <w:bookmarkEnd w:id="109"/>
      <w:bookmarkEnd w:id="110"/>
      <w:bookmarkEnd w:id="111"/>
      <w:bookmarkEnd w:id="112"/>
      <w:bookmarkEnd w:id="113"/>
      <w:bookmarkEnd w:id="114"/>
      <w:bookmarkEnd w:id="115"/>
    </w:p>
    <w:p>
      <w:pPr>
        <w:spacing w:line="380" w:lineRule="exact"/>
        <w:outlineLvl w:val="2"/>
        <w:rPr>
          <w:rFonts w:ascii="Calibri" w:hAnsi="Calibri" w:eastAsia="Calibri" w:cs="Times New Roman"/>
          <w:b/>
          <w:bCs/>
          <w:sz w:val="28"/>
          <w:szCs w:val="28"/>
        </w:rPr>
      </w:pPr>
      <w:bookmarkStart w:id="116" w:name="_Toc397975276"/>
      <w:r>
        <w:rPr>
          <w:rFonts w:hint="eastAsia" w:ascii="Calibri" w:hAnsi="Calibri" w:eastAsia="宋体" w:cs="Times New Roman"/>
          <w:b/>
          <w:bCs/>
          <w:sz w:val="28"/>
          <w:szCs w:val="28"/>
        </w:rPr>
        <w:t>6</w:t>
      </w:r>
      <w:r>
        <w:rPr>
          <w:rFonts w:ascii="Calibri" w:hAnsi="Calibri" w:eastAsia="Calibri" w:cs="Times New Roman"/>
          <w:b/>
          <w:bCs/>
          <w:sz w:val="28"/>
          <w:szCs w:val="28"/>
        </w:rPr>
        <w:t xml:space="preserve">.1 </w:t>
      </w:r>
      <w:r>
        <w:rPr>
          <w:rFonts w:hint="eastAsia" w:ascii="宋体" w:hAnsi="宋体" w:eastAsia="宋体" w:cs="宋体"/>
          <w:b/>
          <w:bCs/>
          <w:sz w:val="28"/>
          <w:szCs w:val="28"/>
        </w:rPr>
        <w:t>评标委员会</w:t>
      </w:r>
      <w:bookmarkEnd w:id="116"/>
    </w:p>
    <w:p>
      <w:pPr>
        <w:spacing w:line="380" w:lineRule="exact"/>
        <w:ind w:firstLine="420" w:firstLineChars="200"/>
        <w:rPr>
          <w:rFonts w:ascii="Calibri" w:hAnsi="Calibri" w:eastAsia="宋体" w:cs="Times New Roman"/>
          <w:szCs w:val="21"/>
        </w:rPr>
      </w:pPr>
      <w:bookmarkStart w:id="117" w:name="_Toc269310951"/>
      <w:bookmarkStart w:id="118" w:name="_Toc339359778"/>
      <w:bookmarkStart w:id="119" w:name="_Toc324255922"/>
      <w:r>
        <w:rPr>
          <w:rFonts w:hint="eastAsia" w:ascii="Calibri" w:hAnsi="Calibri" w:eastAsia="宋体" w:cs="Times New Roman"/>
          <w:szCs w:val="21"/>
        </w:rPr>
        <w:t>6</w:t>
      </w:r>
      <w:r>
        <w:rPr>
          <w:rFonts w:ascii="Calibri" w:hAnsi="Calibri" w:eastAsia="宋体" w:cs="Times New Roman"/>
          <w:szCs w:val="21"/>
        </w:rPr>
        <w:t>.1.1 评标由招标人依法组建的评标委员会负责。</w:t>
      </w:r>
      <w:r>
        <w:rPr>
          <w:rFonts w:hint="eastAsia" w:ascii="Calibri" w:hAnsi="Calibri" w:eastAsia="宋体" w:cs="Times New Roman"/>
          <w:szCs w:val="21"/>
        </w:rPr>
        <w:t>评标委员会成员由有关技术、经济等方面的专家组成，</w:t>
      </w:r>
      <w:r>
        <w:rPr>
          <w:rFonts w:hint="eastAsia" w:ascii="宋体" w:hAnsi="Times New Roman" w:eastAsia="宋体" w:cs="Times New Roman"/>
          <w:szCs w:val="20"/>
        </w:rPr>
        <w:t>其中评标专家不少于三分之二，招标人评委不超过三分之一</w:t>
      </w:r>
      <w:r>
        <w:rPr>
          <w:rFonts w:hint="eastAsia" w:ascii="Calibri" w:hAnsi="Calibri" w:eastAsia="宋体" w:cs="Times New Roman"/>
          <w:szCs w:val="21"/>
        </w:rPr>
        <w:t>。</w:t>
      </w:r>
      <w:r>
        <w:rPr>
          <w:rFonts w:ascii="Calibri" w:hAnsi="Calibri" w:eastAsia="宋体" w:cs="Times New Roman"/>
          <w:szCs w:val="21"/>
        </w:rPr>
        <w:t>评标委员会</w:t>
      </w:r>
      <w:r>
        <w:rPr>
          <w:rFonts w:hint="eastAsia" w:ascii="Calibri" w:hAnsi="Calibri" w:eastAsia="宋体" w:cs="Times New Roman"/>
          <w:szCs w:val="21"/>
        </w:rPr>
        <w:t>的确定方式：在江苏省综合评标 （评审）专家库中随机抽取并电脑语音通知。</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6</w:t>
      </w:r>
      <w:r>
        <w:rPr>
          <w:rFonts w:ascii="Calibri" w:hAnsi="Calibri" w:eastAsia="宋体" w:cs="Times New Roman"/>
          <w:szCs w:val="21"/>
        </w:rPr>
        <w:t>.1.2 评标委员会成员有下列情形之一的，应当回避：</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（1）</w:t>
      </w:r>
      <w:r>
        <w:rPr>
          <w:rFonts w:ascii="Calibri" w:hAnsi="Calibri" w:eastAsia="宋体" w:cs="Times New Roman"/>
          <w:szCs w:val="21"/>
        </w:rPr>
        <w:t>投标人或投标人主要负责人的近亲属；</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（2）</w:t>
      </w:r>
      <w:r>
        <w:rPr>
          <w:rFonts w:ascii="Calibri" w:hAnsi="Calibri" w:eastAsia="宋体" w:cs="Times New Roman"/>
          <w:szCs w:val="21"/>
        </w:rPr>
        <w:t>项目主管部门或者行政监督部门的人员；</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（3）</w:t>
      </w:r>
      <w:r>
        <w:rPr>
          <w:rFonts w:ascii="Calibri" w:hAnsi="Calibri" w:eastAsia="宋体" w:cs="Times New Roman"/>
          <w:szCs w:val="21"/>
        </w:rPr>
        <w:t>与投标人有经济利益关系；</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（4）</w:t>
      </w:r>
      <w:r>
        <w:rPr>
          <w:rFonts w:ascii="Calibri" w:hAnsi="Calibri" w:eastAsia="宋体" w:cs="Times New Roman"/>
          <w:szCs w:val="21"/>
        </w:rPr>
        <w:t>曾因在招标、评标以及其他与招标投标有关活动中从事违法行为而受过行政处罚或刑事处罚的</w:t>
      </w:r>
      <w:r>
        <w:rPr>
          <w:rFonts w:hint="eastAsia" w:ascii="Calibri" w:hAnsi="Calibri" w:eastAsia="宋体" w:cs="Times New Roman"/>
          <w:szCs w:val="21"/>
        </w:rPr>
        <w:t>。</w:t>
      </w:r>
    </w:p>
    <w:p>
      <w:pPr>
        <w:spacing w:line="380" w:lineRule="exact"/>
        <w:outlineLvl w:val="2"/>
        <w:rPr>
          <w:rFonts w:ascii="Calibri" w:hAnsi="Calibri" w:eastAsia="Calibri" w:cs="Times New Roman"/>
          <w:b/>
          <w:bCs/>
          <w:sz w:val="28"/>
          <w:szCs w:val="28"/>
        </w:rPr>
      </w:pPr>
      <w:bookmarkStart w:id="120" w:name="_Toc397975277"/>
      <w:r>
        <w:rPr>
          <w:rFonts w:hint="eastAsia" w:ascii="Calibri" w:hAnsi="Calibri" w:eastAsia="宋体" w:cs="Times New Roman"/>
          <w:b/>
          <w:bCs/>
          <w:sz w:val="28"/>
          <w:szCs w:val="28"/>
        </w:rPr>
        <w:t>6</w:t>
      </w:r>
      <w:r>
        <w:rPr>
          <w:rFonts w:ascii="Calibri" w:hAnsi="Calibri" w:eastAsia="Calibri" w:cs="Times New Roman"/>
          <w:b/>
          <w:bCs/>
          <w:sz w:val="28"/>
          <w:szCs w:val="28"/>
        </w:rPr>
        <w:t>.2</w:t>
      </w:r>
      <w:bookmarkEnd w:id="117"/>
      <w:bookmarkEnd w:id="118"/>
      <w:bookmarkEnd w:id="119"/>
      <w:r>
        <w:rPr>
          <w:rFonts w:hint="eastAsia" w:ascii="Calibri" w:hAnsi="Calibri" w:eastAsia="Calibri" w:cs="Times New Roman"/>
          <w:b/>
          <w:bCs/>
          <w:sz w:val="28"/>
          <w:szCs w:val="28"/>
        </w:rPr>
        <w:t xml:space="preserve"> </w:t>
      </w:r>
      <w:r>
        <w:rPr>
          <w:rFonts w:hint="eastAsia" w:ascii="宋体" w:hAnsi="宋体" w:eastAsia="宋体" w:cs="宋体"/>
          <w:b/>
          <w:bCs/>
          <w:sz w:val="28"/>
          <w:szCs w:val="28"/>
        </w:rPr>
        <w:t>评标原则</w:t>
      </w:r>
      <w:bookmarkEnd w:id="120"/>
    </w:p>
    <w:p>
      <w:pPr>
        <w:spacing w:line="380" w:lineRule="exact"/>
        <w:ind w:firstLine="420" w:firstLineChars="200"/>
        <w:rPr>
          <w:rFonts w:ascii="Calibri" w:hAnsi="Calibri" w:eastAsia="宋体" w:cs="Times New Roman"/>
          <w:szCs w:val="21"/>
        </w:rPr>
      </w:pPr>
      <w:r>
        <w:rPr>
          <w:rFonts w:ascii="Calibri" w:hAnsi="Calibri" w:eastAsia="宋体" w:cs="Times New Roman"/>
          <w:szCs w:val="21"/>
        </w:rPr>
        <w:t>评标活动遵循公平、公正、科学和择优的原则。</w:t>
      </w:r>
    </w:p>
    <w:p>
      <w:pPr>
        <w:spacing w:line="380" w:lineRule="exact"/>
        <w:outlineLvl w:val="2"/>
        <w:rPr>
          <w:rFonts w:ascii="Calibri" w:hAnsi="Calibri" w:eastAsia="Calibri" w:cs="Times New Roman"/>
          <w:b/>
          <w:bCs/>
          <w:sz w:val="28"/>
          <w:szCs w:val="28"/>
        </w:rPr>
      </w:pPr>
      <w:bookmarkStart w:id="121" w:name="_Toc387526316"/>
      <w:bookmarkStart w:id="122" w:name="_Toc366679696"/>
      <w:bookmarkStart w:id="123" w:name="_Toc179632583"/>
      <w:bookmarkStart w:id="124" w:name="_Toc152045565"/>
      <w:bookmarkStart w:id="125" w:name="_Toc247085723"/>
      <w:bookmarkStart w:id="126" w:name="_Toc246996952"/>
      <w:bookmarkStart w:id="127" w:name="_Toc6500"/>
      <w:bookmarkStart w:id="128" w:name="_Toc387526408"/>
      <w:bookmarkStart w:id="129" w:name="_Toc397975278"/>
      <w:bookmarkStart w:id="130" w:name="_Toc20553"/>
      <w:bookmarkStart w:id="131" w:name="_Toc246996209"/>
      <w:bookmarkStart w:id="132" w:name="_Toc152042341"/>
      <w:bookmarkStart w:id="133" w:name="_Toc387526212"/>
      <w:bookmarkStart w:id="134" w:name="_Toc144974533"/>
      <w:bookmarkStart w:id="135" w:name="_Toc369077567"/>
      <w:bookmarkStart w:id="136" w:name="_Toc368760433"/>
      <w:r>
        <w:rPr>
          <w:rFonts w:hint="eastAsia" w:ascii="Calibri" w:hAnsi="Calibri" w:eastAsia="宋体" w:cs="Times New Roman"/>
          <w:b/>
          <w:bCs/>
          <w:sz w:val="28"/>
          <w:szCs w:val="28"/>
        </w:rPr>
        <w:t>6</w:t>
      </w:r>
      <w:r>
        <w:rPr>
          <w:rFonts w:hint="eastAsia" w:ascii="Calibri" w:hAnsi="Calibri" w:eastAsia="Calibri" w:cs="Times New Roman"/>
          <w:b/>
          <w:bCs/>
          <w:sz w:val="28"/>
          <w:szCs w:val="28"/>
        </w:rPr>
        <w:t xml:space="preserve">.3 </w:t>
      </w:r>
      <w:r>
        <w:rPr>
          <w:rFonts w:hint="eastAsia" w:ascii="宋体" w:hAnsi="宋体" w:eastAsia="宋体" w:cs="宋体"/>
          <w:b/>
          <w:bCs/>
          <w:sz w:val="28"/>
          <w:szCs w:val="28"/>
        </w:rPr>
        <w:t>评标</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pPr>
        <w:spacing w:line="380" w:lineRule="exact"/>
        <w:ind w:firstLine="420" w:firstLineChars="200"/>
        <w:rPr>
          <w:rFonts w:ascii="Calibri" w:hAnsi="Calibri" w:eastAsia="宋体" w:cs="Times New Roman"/>
          <w:szCs w:val="21"/>
        </w:rPr>
      </w:pPr>
      <w:bookmarkStart w:id="137" w:name="_Toc24529"/>
      <w:r>
        <w:rPr>
          <w:rFonts w:hint="eastAsia" w:ascii="Calibri" w:hAnsi="Calibri" w:eastAsia="宋体" w:cs="Times New Roman"/>
          <w:szCs w:val="21"/>
        </w:rPr>
        <w:t>评标委员会按照第三章“评标办法”规定的方法、评审因素、标准和程序对投标文件进行评审。第三章“评标办法”没有规定的方法、评审因素和标准，不作为评标依据。</w:t>
      </w:r>
    </w:p>
    <w:p>
      <w:pPr>
        <w:spacing w:line="380" w:lineRule="exact"/>
        <w:outlineLvl w:val="2"/>
        <w:rPr>
          <w:rFonts w:ascii="Calibri" w:hAnsi="Calibri" w:eastAsia="Calibri" w:cs="Times New Roman"/>
          <w:b/>
          <w:bCs/>
          <w:sz w:val="28"/>
          <w:szCs w:val="28"/>
        </w:rPr>
      </w:pPr>
      <w:bookmarkStart w:id="138" w:name="_Toc397928585"/>
      <w:r>
        <w:rPr>
          <w:rFonts w:hint="eastAsia" w:ascii="Calibri" w:hAnsi="Calibri" w:eastAsia="宋体" w:cs="Times New Roman"/>
          <w:b/>
          <w:bCs/>
          <w:sz w:val="28"/>
          <w:szCs w:val="28"/>
        </w:rPr>
        <w:t>6</w:t>
      </w:r>
      <w:r>
        <w:rPr>
          <w:rFonts w:hint="eastAsia" w:ascii="Calibri" w:hAnsi="Calibri" w:eastAsia="Calibri" w:cs="Times New Roman"/>
          <w:b/>
          <w:bCs/>
          <w:sz w:val="28"/>
          <w:szCs w:val="28"/>
        </w:rPr>
        <w:t xml:space="preserve">.4 </w:t>
      </w:r>
      <w:r>
        <w:rPr>
          <w:rFonts w:hint="eastAsia" w:ascii="宋体" w:hAnsi="宋体" w:eastAsia="宋体" w:cs="宋体"/>
          <w:b/>
          <w:bCs/>
          <w:sz w:val="28"/>
          <w:szCs w:val="28"/>
        </w:rPr>
        <w:t>多个标段推荐中标候选人顺序</w:t>
      </w:r>
      <w:bookmarkEnd w:id="138"/>
    </w:p>
    <w:bookmarkEnd w:id="137"/>
    <w:p>
      <w:pPr>
        <w:spacing w:line="380" w:lineRule="exact"/>
        <w:jc w:val="left"/>
        <w:outlineLvl w:val="1"/>
        <w:rPr>
          <w:rFonts w:ascii="Calibri" w:hAnsi="Calibri" w:eastAsia="宋体" w:cs="Times New Roman"/>
          <w:szCs w:val="21"/>
        </w:rPr>
      </w:pPr>
      <w:bookmarkStart w:id="139" w:name="_Toc397975280"/>
      <w:r>
        <w:rPr>
          <w:rFonts w:hint="eastAsia" w:ascii="Calibri" w:hAnsi="Calibri" w:eastAsia="宋体" w:cs="Times New Roman"/>
          <w:szCs w:val="21"/>
        </w:rPr>
        <w:t>本次招标不涉及。</w:t>
      </w:r>
    </w:p>
    <w:p>
      <w:pPr>
        <w:spacing w:line="380" w:lineRule="exact"/>
        <w:jc w:val="left"/>
        <w:outlineLvl w:val="1"/>
        <w:rPr>
          <w:rFonts w:ascii="Calibri" w:hAnsi="Calibri" w:eastAsia="Calibri" w:cs="Times New Roman"/>
          <w:b/>
          <w:kern w:val="0"/>
          <w:sz w:val="28"/>
          <w:szCs w:val="28"/>
        </w:rPr>
      </w:pPr>
      <w:r>
        <w:rPr>
          <w:rFonts w:hint="eastAsia" w:ascii="Calibri" w:hAnsi="Calibri" w:eastAsia="宋体" w:cs="Times New Roman"/>
          <w:b/>
          <w:kern w:val="0"/>
          <w:sz w:val="28"/>
          <w:szCs w:val="28"/>
        </w:rPr>
        <w:t>7</w:t>
      </w:r>
      <w:r>
        <w:rPr>
          <w:rFonts w:ascii="Calibri" w:hAnsi="Calibri" w:eastAsia="Calibri" w:cs="Times New Roman"/>
          <w:b/>
          <w:kern w:val="0"/>
          <w:sz w:val="28"/>
          <w:szCs w:val="28"/>
        </w:rPr>
        <w:t>.</w:t>
      </w:r>
      <w:r>
        <w:rPr>
          <w:rFonts w:hint="eastAsia" w:ascii="Calibri" w:hAnsi="Calibri" w:eastAsia="Calibri" w:cs="Times New Roman"/>
          <w:b/>
          <w:kern w:val="0"/>
          <w:sz w:val="28"/>
          <w:szCs w:val="28"/>
        </w:rPr>
        <w:t xml:space="preserve"> </w:t>
      </w:r>
      <w:r>
        <w:rPr>
          <w:rFonts w:hint="eastAsia" w:ascii="宋体" w:hAnsi="宋体" w:eastAsia="宋体" w:cs="宋体"/>
          <w:b/>
          <w:kern w:val="0"/>
          <w:sz w:val="28"/>
          <w:szCs w:val="28"/>
        </w:rPr>
        <w:t>评标结果公示</w:t>
      </w:r>
      <w:bookmarkEnd w:id="139"/>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7.1 招标人在收到评标报告后3日内在本招标项目招标公告发布的同一媒介进行评标结果公示</w:t>
      </w:r>
      <w:r>
        <w:rPr>
          <w:rFonts w:hint="eastAsia" w:ascii="Calibri" w:hAnsi="Calibri" w:eastAsia="宋体" w:cs="Calibri"/>
          <w:kern w:val="0"/>
          <w:szCs w:val="21"/>
        </w:rPr>
        <w:t>，公示期不少于3日（最有一天应为工作日）</w:t>
      </w:r>
      <w:r>
        <w:rPr>
          <w:rFonts w:hint="eastAsia" w:ascii="Calibri" w:hAnsi="Calibri" w:eastAsia="宋体" w:cs="Times New Roman"/>
          <w:szCs w:val="21"/>
        </w:rPr>
        <w:t>。</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 xml:space="preserve">7.2 </w:t>
      </w:r>
      <w:r>
        <w:rPr>
          <w:rFonts w:ascii="Calibri" w:hAnsi="Calibri" w:eastAsia="宋体" w:cs="Times New Roman"/>
          <w:szCs w:val="21"/>
        </w:rPr>
        <w:t>投标人或者其他利害关系人对评标结果有异议的，应当在</w:t>
      </w:r>
      <w:r>
        <w:rPr>
          <w:rFonts w:hint="eastAsia" w:ascii="Calibri" w:hAnsi="Calibri" w:eastAsia="宋体" w:cs="Times New Roman"/>
          <w:szCs w:val="21"/>
        </w:rPr>
        <w:t>评标结果</w:t>
      </w:r>
      <w:r>
        <w:rPr>
          <w:rFonts w:ascii="Calibri" w:hAnsi="Calibri" w:eastAsia="宋体" w:cs="Times New Roman"/>
          <w:szCs w:val="21"/>
        </w:rPr>
        <w:t>公示期间</w:t>
      </w:r>
      <w:r>
        <w:rPr>
          <w:rFonts w:hint="eastAsia" w:ascii="Calibri" w:hAnsi="Calibri" w:eastAsia="宋体" w:cs="Times New Roman"/>
          <w:szCs w:val="21"/>
        </w:rPr>
        <w:t>书面向招标人提出。</w:t>
      </w:r>
      <w:r>
        <w:rPr>
          <w:rFonts w:ascii="Calibri" w:hAnsi="Calibri" w:eastAsia="宋体" w:cs="Times New Roman"/>
          <w:szCs w:val="21"/>
        </w:rPr>
        <w:t>招标人自收到</w:t>
      </w:r>
      <w:r>
        <w:rPr>
          <w:rFonts w:hint="eastAsia" w:ascii="Calibri" w:hAnsi="Calibri" w:eastAsia="宋体" w:cs="Times New Roman"/>
          <w:szCs w:val="21"/>
        </w:rPr>
        <w:t>书面</w:t>
      </w:r>
      <w:r>
        <w:rPr>
          <w:rFonts w:ascii="Calibri" w:hAnsi="Calibri" w:eastAsia="宋体" w:cs="Times New Roman"/>
          <w:szCs w:val="21"/>
        </w:rPr>
        <w:t>异议</w:t>
      </w:r>
      <w:r>
        <w:rPr>
          <w:rFonts w:hint="eastAsia" w:ascii="Calibri" w:hAnsi="Calibri" w:eastAsia="宋体" w:cs="Times New Roman"/>
          <w:szCs w:val="21"/>
        </w:rPr>
        <w:t>材料</w:t>
      </w:r>
      <w:r>
        <w:rPr>
          <w:rFonts w:ascii="Calibri" w:hAnsi="Calibri" w:eastAsia="宋体" w:cs="Times New Roman"/>
          <w:szCs w:val="21"/>
        </w:rPr>
        <w:t>之日起</w:t>
      </w:r>
      <w:r>
        <w:rPr>
          <w:rFonts w:hint="eastAsia" w:ascii="Calibri" w:hAnsi="Calibri" w:eastAsia="宋体" w:cs="Times New Roman"/>
          <w:szCs w:val="21"/>
        </w:rPr>
        <w:t>3</w:t>
      </w:r>
      <w:r>
        <w:rPr>
          <w:rFonts w:ascii="Calibri" w:hAnsi="Calibri" w:eastAsia="宋体" w:cs="Times New Roman"/>
          <w:szCs w:val="21"/>
        </w:rPr>
        <w:t>日内作出答复</w:t>
      </w:r>
      <w:r>
        <w:rPr>
          <w:rFonts w:hint="eastAsia" w:ascii="Calibri" w:hAnsi="Calibri" w:eastAsia="宋体" w:cs="Times New Roman"/>
          <w:szCs w:val="21"/>
        </w:rPr>
        <w:t>，并在</w:t>
      </w:r>
      <w:r>
        <w:rPr>
          <w:rFonts w:ascii="Calibri" w:hAnsi="Calibri" w:eastAsia="宋体" w:cs="Times New Roman"/>
          <w:szCs w:val="21"/>
        </w:rPr>
        <w:t>作出答复前暂停招标投标活动。</w:t>
      </w:r>
    </w:p>
    <w:p>
      <w:pPr>
        <w:spacing w:line="380" w:lineRule="exact"/>
        <w:jc w:val="left"/>
        <w:outlineLvl w:val="1"/>
        <w:rPr>
          <w:rFonts w:ascii="Calibri" w:hAnsi="Calibri" w:eastAsia="Calibri" w:cs="Times New Roman"/>
          <w:b/>
          <w:kern w:val="0"/>
          <w:sz w:val="28"/>
          <w:szCs w:val="28"/>
        </w:rPr>
      </w:pPr>
      <w:bookmarkStart w:id="140" w:name="_Toc397975281"/>
      <w:r>
        <w:rPr>
          <w:rFonts w:hint="eastAsia" w:ascii="Calibri" w:hAnsi="Calibri" w:eastAsia="宋体" w:cs="Times New Roman"/>
          <w:b/>
          <w:kern w:val="0"/>
          <w:sz w:val="28"/>
          <w:szCs w:val="28"/>
        </w:rPr>
        <w:t>8</w:t>
      </w:r>
      <w:r>
        <w:rPr>
          <w:rFonts w:hint="eastAsia" w:ascii="Calibri" w:hAnsi="Calibri" w:eastAsia="Calibri" w:cs="Times New Roman"/>
          <w:b/>
          <w:kern w:val="0"/>
          <w:sz w:val="28"/>
          <w:szCs w:val="28"/>
        </w:rPr>
        <w:t xml:space="preserve"> </w:t>
      </w:r>
      <w:r>
        <w:rPr>
          <w:rFonts w:hint="eastAsia" w:ascii="宋体" w:hAnsi="宋体" w:eastAsia="宋体" w:cs="宋体"/>
          <w:b/>
          <w:kern w:val="0"/>
          <w:sz w:val="28"/>
          <w:szCs w:val="28"/>
        </w:rPr>
        <w:t>合同授予</w:t>
      </w:r>
      <w:bookmarkEnd w:id="98"/>
      <w:bookmarkEnd w:id="99"/>
      <w:bookmarkEnd w:id="100"/>
      <w:bookmarkEnd w:id="101"/>
      <w:bookmarkEnd w:id="102"/>
      <w:bookmarkEnd w:id="103"/>
      <w:bookmarkEnd w:id="104"/>
      <w:bookmarkEnd w:id="105"/>
      <w:bookmarkEnd w:id="106"/>
      <w:bookmarkEnd w:id="135"/>
      <w:bookmarkEnd w:id="136"/>
      <w:bookmarkEnd w:id="140"/>
    </w:p>
    <w:p>
      <w:pPr>
        <w:spacing w:line="380" w:lineRule="exact"/>
        <w:outlineLvl w:val="2"/>
        <w:rPr>
          <w:rFonts w:ascii="Calibri" w:hAnsi="Calibri" w:eastAsia="Calibri" w:cs="Times New Roman"/>
          <w:b/>
          <w:bCs/>
          <w:sz w:val="28"/>
          <w:szCs w:val="28"/>
        </w:rPr>
      </w:pPr>
      <w:bookmarkStart w:id="141" w:name="_Toc247085725"/>
      <w:bookmarkStart w:id="142" w:name="_Toc152042343"/>
      <w:bookmarkStart w:id="143" w:name="_Toc397975282"/>
      <w:bookmarkStart w:id="144" w:name="_Toc179632585"/>
      <w:bookmarkStart w:id="145" w:name="_Toc144974535"/>
      <w:bookmarkStart w:id="146" w:name="_Toc246996211"/>
      <w:bookmarkStart w:id="147" w:name="_Toc366679698"/>
      <w:bookmarkStart w:id="148" w:name="_Toc152045567"/>
      <w:bookmarkStart w:id="149" w:name="_Toc246996954"/>
      <w:r>
        <w:rPr>
          <w:rFonts w:hint="eastAsia" w:ascii="Calibri" w:hAnsi="Calibri" w:eastAsia="宋体" w:cs="Times New Roman"/>
          <w:b/>
          <w:bCs/>
          <w:sz w:val="28"/>
          <w:szCs w:val="28"/>
        </w:rPr>
        <w:t>8</w:t>
      </w:r>
      <w:r>
        <w:rPr>
          <w:rFonts w:ascii="Calibri" w:hAnsi="Calibri" w:eastAsia="Calibri" w:cs="Times New Roman"/>
          <w:b/>
          <w:bCs/>
          <w:sz w:val="28"/>
          <w:szCs w:val="28"/>
        </w:rPr>
        <w:t xml:space="preserve">.1 </w:t>
      </w:r>
      <w:r>
        <w:rPr>
          <w:rFonts w:hint="eastAsia" w:ascii="宋体" w:hAnsi="宋体" w:eastAsia="宋体" w:cs="宋体"/>
          <w:b/>
          <w:bCs/>
          <w:sz w:val="28"/>
          <w:szCs w:val="28"/>
        </w:rPr>
        <w:t>定标方式</w:t>
      </w:r>
      <w:bookmarkEnd w:id="141"/>
      <w:bookmarkEnd w:id="142"/>
      <w:bookmarkEnd w:id="143"/>
      <w:bookmarkEnd w:id="144"/>
      <w:bookmarkEnd w:id="145"/>
      <w:bookmarkEnd w:id="146"/>
      <w:bookmarkEnd w:id="147"/>
      <w:bookmarkEnd w:id="148"/>
      <w:bookmarkEnd w:id="149"/>
    </w:p>
    <w:p>
      <w:pPr>
        <w:spacing w:line="380" w:lineRule="exact"/>
        <w:ind w:firstLine="420" w:firstLineChars="200"/>
        <w:rPr>
          <w:rFonts w:ascii="Calibri" w:hAnsi="Calibri" w:eastAsia="宋体" w:cs="Times New Roman"/>
          <w:szCs w:val="20"/>
        </w:rPr>
      </w:pPr>
      <w:bookmarkStart w:id="150" w:name="_Toc366679700"/>
      <w:bookmarkStart w:id="151" w:name="_Toc397975283"/>
      <w:bookmarkStart w:id="152" w:name="_Toc247085726"/>
      <w:bookmarkStart w:id="153" w:name="_Toc246996955"/>
      <w:bookmarkStart w:id="154" w:name="_Toc246996212"/>
      <w:bookmarkStart w:id="155" w:name="_Toc179632586"/>
      <w:r>
        <w:rPr>
          <w:rFonts w:hint="eastAsia" w:ascii="Calibri" w:hAnsi="Calibri" w:eastAsia="宋体" w:cs="Times New Roman"/>
          <w:szCs w:val="20"/>
        </w:rPr>
        <w:t>除“投标人须知前附表”规定评标委员会直接确定中标人外，招标人依据评标委员会推荐的中标候选人确定中标人，评标委员会推荐中标候选人的人数</w:t>
      </w:r>
      <w:r>
        <w:rPr>
          <w:rFonts w:hint="eastAsia" w:ascii="Calibri" w:hAnsi="Calibri" w:eastAsia="宋体" w:cs="Calibri"/>
          <w:kern w:val="0"/>
          <w:szCs w:val="21"/>
        </w:rPr>
        <w:t>不超过3个</w:t>
      </w:r>
      <w:r>
        <w:rPr>
          <w:rFonts w:ascii="Calibri" w:hAnsi="Calibri" w:eastAsia="宋体" w:cs="Times New Roman"/>
          <w:szCs w:val="20"/>
        </w:rPr>
        <w:t>。</w:t>
      </w:r>
    </w:p>
    <w:p>
      <w:pPr>
        <w:spacing w:line="380" w:lineRule="exact"/>
        <w:outlineLvl w:val="2"/>
        <w:rPr>
          <w:rFonts w:ascii="Calibri" w:hAnsi="Calibri" w:eastAsia="Calibri" w:cs="Times New Roman"/>
          <w:b/>
          <w:bCs/>
          <w:sz w:val="28"/>
          <w:szCs w:val="28"/>
        </w:rPr>
      </w:pPr>
      <w:r>
        <w:rPr>
          <w:rFonts w:hint="eastAsia" w:ascii="Calibri" w:hAnsi="Calibri" w:eastAsia="宋体" w:cs="Times New Roman"/>
          <w:b/>
          <w:bCs/>
          <w:sz w:val="28"/>
          <w:szCs w:val="28"/>
        </w:rPr>
        <w:t>8</w:t>
      </w:r>
      <w:r>
        <w:rPr>
          <w:rFonts w:hint="eastAsia" w:ascii="Calibri" w:hAnsi="Calibri" w:eastAsia="Calibri" w:cs="Times New Roman"/>
          <w:b/>
          <w:bCs/>
          <w:sz w:val="28"/>
          <w:szCs w:val="28"/>
        </w:rPr>
        <w:t>.2</w:t>
      </w:r>
      <w:r>
        <w:rPr>
          <w:rFonts w:hint="eastAsia" w:ascii="宋体" w:hAnsi="宋体" w:eastAsia="宋体" w:cs="宋体"/>
          <w:b/>
          <w:bCs/>
          <w:sz w:val="28"/>
          <w:szCs w:val="28"/>
        </w:rPr>
        <w:t>中标通知及中标结果公告</w:t>
      </w:r>
      <w:bookmarkEnd w:id="150"/>
      <w:bookmarkEnd w:id="151"/>
      <w:bookmarkEnd w:id="152"/>
      <w:bookmarkEnd w:id="153"/>
      <w:bookmarkEnd w:id="154"/>
      <w:bookmarkEnd w:id="155"/>
    </w:p>
    <w:p>
      <w:pPr>
        <w:spacing w:line="380" w:lineRule="exact"/>
        <w:ind w:firstLine="420" w:firstLineChars="200"/>
        <w:rPr>
          <w:rFonts w:ascii="Calibri" w:hAnsi="Calibri" w:eastAsia="宋体" w:cs="Calibri"/>
          <w:szCs w:val="21"/>
        </w:rPr>
      </w:pPr>
      <w:bookmarkStart w:id="156" w:name="_Toc246996213"/>
      <w:bookmarkStart w:id="157" w:name="_Toc246996956"/>
      <w:bookmarkStart w:id="158" w:name="_Toc366679701"/>
      <w:bookmarkStart w:id="159" w:name="_Toc247085727"/>
      <w:bookmarkStart w:id="160" w:name="_Toc179632587"/>
      <w:r>
        <w:rPr>
          <w:rFonts w:hint="eastAsia" w:ascii="Calibri" w:hAnsi="Calibri" w:eastAsia="宋体" w:cs="Calibri"/>
          <w:szCs w:val="21"/>
        </w:rPr>
        <w:t>评标结果公示期满无异议或投诉的，招标人在</w:t>
      </w:r>
      <w:r>
        <w:rPr>
          <w:rFonts w:hint="eastAsia" w:ascii="Calibri" w:hAnsi="Calibri" w:eastAsia="宋体" w:cs="Times New Roman"/>
          <w:szCs w:val="21"/>
        </w:rPr>
        <w:t>“</w:t>
      </w:r>
      <w:r>
        <w:rPr>
          <w:rFonts w:hint="eastAsia" w:ascii="Calibri" w:hAnsi="Calibri" w:eastAsia="宋体" w:cs="Calibri"/>
          <w:szCs w:val="21"/>
        </w:rPr>
        <w:t>电子招标投标交易平台</w:t>
      </w:r>
      <w:r>
        <w:rPr>
          <w:rFonts w:hint="eastAsia" w:ascii="Calibri" w:hAnsi="Calibri" w:eastAsia="宋体" w:cs="Times New Roman"/>
          <w:szCs w:val="21"/>
        </w:rPr>
        <w:t>”</w:t>
      </w:r>
      <w:r>
        <w:rPr>
          <w:rFonts w:hint="eastAsia" w:ascii="Calibri" w:hAnsi="Calibri" w:eastAsia="宋体" w:cs="Calibri"/>
          <w:szCs w:val="21"/>
        </w:rPr>
        <w:t>发出中标结果公告，将中标结果通知未中标的投标人，并向中标人发出中标通知书。</w:t>
      </w:r>
    </w:p>
    <w:p>
      <w:pPr>
        <w:spacing w:line="380" w:lineRule="exact"/>
        <w:outlineLvl w:val="2"/>
        <w:rPr>
          <w:rFonts w:ascii="Calibri" w:hAnsi="Calibri" w:eastAsia="Calibri" w:cs="Times New Roman"/>
          <w:b/>
          <w:bCs/>
          <w:sz w:val="28"/>
          <w:szCs w:val="28"/>
        </w:rPr>
      </w:pPr>
      <w:bookmarkStart w:id="161" w:name="_Toc397975284"/>
      <w:r>
        <w:rPr>
          <w:rFonts w:hint="eastAsia" w:ascii="Calibri" w:hAnsi="Calibri" w:eastAsia="宋体" w:cs="Times New Roman"/>
          <w:b/>
          <w:bCs/>
          <w:sz w:val="28"/>
          <w:szCs w:val="28"/>
        </w:rPr>
        <w:t>8</w:t>
      </w:r>
      <w:r>
        <w:rPr>
          <w:rFonts w:hint="eastAsia" w:ascii="Calibri" w:hAnsi="Calibri" w:eastAsia="Calibri" w:cs="Times New Roman"/>
          <w:b/>
          <w:bCs/>
          <w:sz w:val="28"/>
          <w:szCs w:val="28"/>
        </w:rPr>
        <w:t xml:space="preserve">.3 </w:t>
      </w:r>
      <w:r>
        <w:rPr>
          <w:rFonts w:hint="eastAsia" w:ascii="宋体" w:hAnsi="宋体" w:eastAsia="宋体" w:cs="宋体"/>
          <w:b/>
          <w:bCs/>
          <w:sz w:val="28"/>
          <w:szCs w:val="28"/>
        </w:rPr>
        <w:t>履约保证金</w:t>
      </w:r>
      <w:bookmarkEnd w:id="156"/>
      <w:bookmarkEnd w:id="157"/>
      <w:bookmarkEnd w:id="158"/>
      <w:bookmarkEnd w:id="159"/>
      <w:bookmarkEnd w:id="160"/>
      <w:bookmarkEnd w:id="161"/>
    </w:p>
    <w:p>
      <w:pPr>
        <w:spacing w:line="380" w:lineRule="exact"/>
        <w:ind w:firstLine="420" w:firstLineChars="200"/>
        <w:rPr>
          <w:rFonts w:ascii="Calibri" w:hAnsi="Calibri" w:eastAsia="宋体" w:cs="Calibri"/>
          <w:szCs w:val="21"/>
        </w:rPr>
      </w:pPr>
      <w:r>
        <w:rPr>
          <w:rFonts w:hint="eastAsia" w:ascii="Calibri" w:hAnsi="Calibri" w:eastAsia="宋体" w:cs="Times New Roman"/>
          <w:szCs w:val="21"/>
        </w:rPr>
        <w:t>8</w:t>
      </w:r>
      <w:r>
        <w:rPr>
          <w:rFonts w:ascii="Calibri" w:hAnsi="Calibri" w:eastAsia="宋体" w:cs="Times New Roman"/>
          <w:szCs w:val="21"/>
        </w:rPr>
        <w:t>.</w:t>
      </w:r>
      <w:r>
        <w:rPr>
          <w:rFonts w:hint="eastAsia" w:ascii="Calibri" w:hAnsi="Calibri" w:eastAsia="宋体" w:cs="Times New Roman"/>
          <w:szCs w:val="21"/>
        </w:rPr>
        <w:t>3</w:t>
      </w:r>
      <w:r>
        <w:rPr>
          <w:rFonts w:ascii="Calibri" w:hAnsi="Calibri" w:eastAsia="宋体" w:cs="Times New Roman"/>
          <w:szCs w:val="21"/>
        </w:rPr>
        <w:t>.1在签订合同前，中标人应按</w:t>
      </w:r>
      <w:r>
        <w:rPr>
          <w:rFonts w:hint="eastAsia" w:ascii="Calibri" w:hAnsi="Calibri" w:eastAsia="宋体" w:cs="Times New Roman"/>
          <w:szCs w:val="21"/>
        </w:rPr>
        <w:t>“</w:t>
      </w:r>
      <w:r>
        <w:rPr>
          <w:rFonts w:ascii="Calibri" w:hAnsi="Calibri" w:eastAsia="宋体" w:cs="Times New Roman"/>
          <w:szCs w:val="21"/>
        </w:rPr>
        <w:t>投标人须知前附表</w:t>
      </w:r>
      <w:r>
        <w:rPr>
          <w:rFonts w:hint="eastAsia" w:ascii="Calibri" w:hAnsi="Calibri" w:eastAsia="宋体" w:cs="Times New Roman"/>
          <w:szCs w:val="21"/>
        </w:rPr>
        <w:t>”</w:t>
      </w:r>
      <w:r>
        <w:rPr>
          <w:rFonts w:ascii="Calibri" w:hAnsi="Calibri" w:eastAsia="宋体" w:cs="Times New Roman"/>
          <w:szCs w:val="21"/>
        </w:rPr>
        <w:t>规定的</w:t>
      </w:r>
      <w:r>
        <w:rPr>
          <w:rFonts w:hint="eastAsia" w:ascii="Calibri" w:hAnsi="Calibri" w:eastAsia="宋体" w:cs="Times New Roman"/>
          <w:szCs w:val="21"/>
        </w:rPr>
        <w:t>金额、担保</w:t>
      </w:r>
      <w:r>
        <w:rPr>
          <w:rFonts w:ascii="Calibri" w:hAnsi="Calibri" w:eastAsia="宋体" w:cs="Times New Roman"/>
          <w:szCs w:val="21"/>
        </w:rPr>
        <w:t>形式和招标文件“合同条款及格式”规定的履约保证金格式向招标人提交履约保证金。联合体中标的，其履约保证金由牵头人递交</w:t>
      </w:r>
      <w:r>
        <w:rPr>
          <w:rFonts w:hint="eastAsia" w:ascii="Calibri" w:hAnsi="Calibri" w:eastAsia="宋体" w:cs="Times New Roman"/>
          <w:szCs w:val="21"/>
        </w:rPr>
        <w:t>，</w:t>
      </w:r>
      <w:r>
        <w:rPr>
          <w:rFonts w:hint="eastAsia" w:ascii="Calibri" w:hAnsi="Calibri" w:eastAsia="宋体" w:cs="Calibri"/>
          <w:szCs w:val="21"/>
        </w:rPr>
        <w:t>并应符合“投标人须知前附表”规定的金额、担保形式和招标文件“合同条款及格式”规定的履约担保格式要求。</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8</w:t>
      </w:r>
      <w:r>
        <w:rPr>
          <w:rFonts w:ascii="Calibri" w:hAnsi="Calibri" w:eastAsia="宋体" w:cs="Times New Roman"/>
          <w:szCs w:val="21"/>
        </w:rPr>
        <w:t>.</w:t>
      </w:r>
      <w:r>
        <w:rPr>
          <w:rFonts w:hint="eastAsia" w:ascii="Calibri" w:hAnsi="Calibri" w:eastAsia="宋体" w:cs="Times New Roman"/>
          <w:szCs w:val="21"/>
        </w:rPr>
        <w:t>3</w:t>
      </w:r>
      <w:r>
        <w:rPr>
          <w:rFonts w:ascii="Calibri" w:hAnsi="Calibri" w:eastAsia="宋体" w:cs="Times New Roman"/>
          <w:szCs w:val="21"/>
        </w:rPr>
        <w:t>.2 中标人不能按本章第</w:t>
      </w:r>
      <w:r>
        <w:rPr>
          <w:rFonts w:hint="eastAsia" w:ascii="Calibri" w:hAnsi="Calibri" w:eastAsia="宋体" w:cs="Times New Roman"/>
          <w:szCs w:val="21"/>
        </w:rPr>
        <w:t>8</w:t>
      </w:r>
      <w:r>
        <w:rPr>
          <w:rFonts w:ascii="Calibri" w:hAnsi="Calibri" w:eastAsia="宋体" w:cs="Times New Roman"/>
          <w:szCs w:val="21"/>
        </w:rPr>
        <w:t>.</w:t>
      </w:r>
      <w:r>
        <w:rPr>
          <w:rFonts w:hint="eastAsia" w:ascii="Calibri" w:hAnsi="Calibri" w:eastAsia="宋体" w:cs="Times New Roman"/>
          <w:szCs w:val="21"/>
        </w:rPr>
        <w:t>3</w:t>
      </w:r>
      <w:r>
        <w:rPr>
          <w:rFonts w:ascii="Calibri" w:hAnsi="Calibri" w:eastAsia="宋体" w:cs="Times New Roman"/>
          <w:szCs w:val="21"/>
        </w:rPr>
        <w:t>.1项要求提交履约保证金的，视为放弃中标，其投标保证金不予退还，给招标人造成的损失超过投标保证金数额的，中标人还应当对超过部分予以赔偿。</w:t>
      </w:r>
    </w:p>
    <w:p>
      <w:pPr>
        <w:spacing w:line="380" w:lineRule="exact"/>
        <w:outlineLvl w:val="2"/>
        <w:rPr>
          <w:rFonts w:ascii="Calibri" w:hAnsi="Calibri" w:eastAsia="Calibri" w:cs="Times New Roman"/>
          <w:b/>
          <w:bCs/>
          <w:sz w:val="28"/>
          <w:szCs w:val="28"/>
        </w:rPr>
      </w:pPr>
      <w:bookmarkStart w:id="162" w:name="_Toc246996214"/>
      <w:bookmarkStart w:id="163" w:name="_Toc246996957"/>
      <w:bookmarkStart w:id="164" w:name="_Toc366679702"/>
      <w:bookmarkStart w:id="165" w:name="_Toc247085728"/>
      <w:bookmarkStart w:id="166" w:name="_Toc397975285"/>
      <w:bookmarkStart w:id="167" w:name="_Toc179632588"/>
      <w:r>
        <w:rPr>
          <w:rFonts w:hint="eastAsia" w:ascii="Calibri" w:hAnsi="Calibri" w:eastAsia="宋体" w:cs="Times New Roman"/>
          <w:b/>
          <w:bCs/>
          <w:sz w:val="28"/>
          <w:szCs w:val="28"/>
        </w:rPr>
        <w:t>8</w:t>
      </w:r>
      <w:r>
        <w:rPr>
          <w:rFonts w:hint="eastAsia" w:ascii="Calibri" w:hAnsi="Calibri" w:eastAsia="Calibri" w:cs="Times New Roman"/>
          <w:b/>
          <w:bCs/>
          <w:sz w:val="28"/>
          <w:szCs w:val="28"/>
        </w:rPr>
        <w:t>.4</w:t>
      </w:r>
      <w:r>
        <w:rPr>
          <w:rFonts w:hint="eastAsia" w:ascii="宋体" w:hAnsi="宋体" w:eastAsia="宋体" w:cs="宋体"/>
          <w:b/>
          <w:bCs/>
          <w:sz w:val="28"/>
          <w:szCs w:val="28"/>
        </w:rPr>
        <w:t>签订合同</w:t>
      </w:r>
      <w:bookmarkEnd w:id="162"/>
      <w:bookmarkEnd w:id="163"/>
      <w:bookmarkEnd w:id="164"/>
      <w:bookmarkEnd w:id="165"/>
      <w:bookmarkEnd w:id="166"/>
      <w:bookmarkEnd w:id="167"/>
    </w:p>
    <w:p>
      <w:pPr>
        <w:spacing w:line="380" w:lineRule="exact"/>
        <w:ind w:firstLine="420" w:firstLineChars="200"/>
        <w:rPr>
          <w:rFonts w:ascii="Calibri" w:hAnsi="Calibri" w:eastAsia="宋体" w:cs="Calibri"/>
          <w:szCs w:val="21"/>
        </w:rPr>
      </w:pPr>
      <w:r>
        <w:rPr>
          <w:rFonts w:hint="eastAsia" w:ascii="Calibri" w:hAnsi="Calibri" w:eastAsia="宋体" w:cs="Times New Roman"/>
          <w:szCs w:val="21"/>
        </w:rPr>
        <w:t>8</w:t>
      </w:r>
      <w:r>
        <w:rPr>
          <w:rFonts w:ascii="Calibri" w:hAnsi="Calibri" w:eastAsia="宋体" w:cs="Times New Roman"/>
          <w:szCs w:val="21"/>
        </w:rPr>
        <w:t>.</w:t>
      </w:r>
      <w:r>
        <w:rPr>
          <w:rFonts w:hint="eastAsia" w:ascii="Calibri" w:hAnsi="Calibri" w:eastAsia="宋体" w:cs="Times New Roman"/>
          <w:szCs w:val="21"/>
        </w:rPr>
        <w:t>4</w:t>
      </w:r>
      <w:r>
        <w:rPr>
          <w:rFonts w:ascii="Calibri" w:hAnsi="Calibri" w:eastAsia="宋体" w:cs="Times New Roman"/>
          <w:szCs w:val="21"/>
        </w:rPr>
        <w:t>.1招标人和中标人应当</w:t>
      </w:r>
      <w:r>
        <w:rPr>
          <w:rFonts w:hint="eastAsia" w:ascii="Calibri" w:hAnsi="Calibri" w:eastAsia="宋体" w:cs="Times New Roman"/>
          <w:szCs w:val="21"/>
        </w:rPr>
        <w:t>在投标有效期内以及</w:t>
      </w:r>
      <w:r>
        <w:rPr>
          <w:rFonts w:ascii="Calibri" w:hAnsi="Calibri" w:eastAsia="宋体" w:cs="Times New Roman"/>
          <w:szCs w:val="21"/>
        </w:rPr>
        <w:t>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r>
        <w:rPr>
          <w:rFonts w:hint="eastAsia" w:ascii="Calibri" w:hAnsi="Calibri" w:eastAsia="宋体" w:cs="Calibri"/>
          <w:szCs w:val="21"/>
        </w:rPr>
        <w:t>对依法必须进行招标的项目的中标人，由有关行政监督部门责令改正。</w:t>
      </w:r>
    </w:p>
    <w:p>
      <w:pPr>
        <w:spacing w:line="380" w:lineRule="exact"/>
        <w:ind w:firstLine="420" w:firstLineChars="200"/>
        <w:rPr>
          <w:rFonts w:ascii="Calibri" w:hAnsi="Calibri" w:eastAsia="宋体" w:cs="Calibri"/>
          <w:szCs w:val="21"/>
        </w:rPr>
      </w:pPr>
      <w:r>
        <w:rPr>
          <w:rFonts w:hint="eastAsia" w:ascii="Calibri" w:hAnsi="Calibri" w:eastAsia="宋体" w:cs="Times New Roman"/>
          <w:szCs w:val="21"/>
        </w:rPr>
        <w:t>8.4.2</w:t>
      </w:r>
      <w:r>
        <w:rPr>
          <w:rFonts w:hint="eastAsia" w:ascii="Calibri" w:hAnsi="Calibri" w:eastAsia="宋体" w:cs="Calibri"/>
          <w:szCs w:val="21"/>
        </w:rPr>
        <w:t>排名第一的中标候选人（或者评标委员会依据招标人的授权直接确定的中标人）放弃中标，或因不可抗力提出不能履行合同，或者被查实存在影响中标结果的违法行为等情形，不符合中标条件的，招标人可以按照评标委员会提出的中标候选人名单排序依次确定其他中标候选人为中标人，招标人也可以重新招标。</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8</w:t>
      </w:r>
      <w:r>
        <w:rPr>
          <w:rFonts w:ascii="Calibri" w:hAnsi="Calibri" w:eastAsia="宋体" w:cs="Times New Roman"/>
          <w:szCs w:val="21"/>
        </w:rPr>
        <w:t>.</w:t>
      </w:r>
      <w:r>
        <w:rPr>
          <w:rFonts w:hint="eastAsia" w:ascii="Calibri" w:hAnsi="Calibri" w:eastAsia="宋体" w:cs="Times New Roman"/>
          <w:szCs w:val="21"/>
        </w:rPr>
        <w:t>4</w:t>
      </w:r>
      <w:r>
        <w:rPr>
          <w:rFonts w:ascii="Calibri" w:hAnsi="Calibri" w:eastAsia="宋体" w:cs="Times New Roman"/>
          <w:szCs w:val="21"/>
        </w:rPr>
        <w:t>.</w:t>
      </w:r>
      <w:r>
        <w:rPr>
          <w:rFonts w:hint="eastAsia" w:ascii="Calibri" w:hAnsi="Calibri" w:eastAsia="宋体" w:cs="Times New Roman"/>
          <w:szCs w:val="21"/>
        </w:rPr>
        <w:t>3</w:t>
      </w:r>
      <w:r>
        <w:rPr>
          <w:rFonts w:ascii="Calibri" w:hAnsi="Calibri" w:eastAsia="宋体" w:cs="Times New Roman"/>
          <w:szCs w:val="21"/>
        </w:rPr>
        <w:t xml:space="preserve"> 发出中标通知书后，招标人无正当理由拒签合同的，</w:t>
      </w:r>
      <w:r>
        <w:rPr>
          <w:rFonts w:hint="eastAsia" w:ascii="Calibri" w:hAnsi="Calibri" w:eastAsia="宋体" w:cs="Calibri"/>
          <w:szCs w:val="21"/>
        </w:rPr>
        <w:t>由有关行政监督部门给予警告，责令改正。同时</w:t>
      </w:r>
      <w:r>
        <w:rPr>
          <w:rFonts w:ascii="Calibri" w:hAnsi="Calibri" w:eastAsia="宋体" w:cs="Times New Roman"/>
          <w:szCs w:val="21"/>
        </w:rPr>
        <w:t>招标人向中标人退还投标保证金；给中标人造成损失的，还应当赔偿损失。</w:t>
      </w:r>
      <w:bookmarkEnd w:id="88"/>
      <w:bookmarkEnd w:id="89"/>
      <w:bookmarkEnd w:id="90"/>
      <w:bookmarkEnd w:id="91"/>
      <w:bookmarkStart w:id="168" w:name="_Toc322503149"/>
      <w:bookmarkStart w:id="169" w:name="_Toc363329380"/>
    </w:p>
    <w:p>
      <w:pPr>
        <w:spacing w:line="380" w:lineRule="exact"/>
        <w:jc w:val="left"/>
        <w:outlineLvl w:val="1"/>
        <w:rPr>
          <w:rFonts w:ascii="Calibri" w:hAnsi="Calibri" w:eastAsia="Calibri" w:cs="Times New Roman"/>
          <w:b/>
          <w:kern w:val="0"/>
          <w:sz w:val="28"/>
          <w:szCs w:val="28"/>
        </w:rPr>
      </w:pPr>
      <w:bookmarkStart w:id="170" w:name="_Toc368760435"/>
      <w:bookmarkStart w:id="171" w:name="_Toc368759383"/>
      <w:bookmarkStart w:id="172" w:name="_Toc369077569"/>
      <w:bookmarkStart w:id="173" w:name="_Toc367894807"/>
      <w:bookmarkStart w:id="174" w:name="_Toc397975286"/>
      <w:r>
        <w:rPr>
          <w:rFonts w:hint="eastAsia" w:ascii="Calibri" w:hAnsi="Calibri" w:eastAsia="宋体" w:cs="Times New Roman"/>
          <w:b/>
          <w:kern w:val="0"/>
          <w:sz w:val="28"/>
          <w:szCs w:val="28"/>
        </w:rPr>
        <w:t>9</w:t>
      </w:r>
      <w:r>
        <w:rPr>
          <w:rFonts w:ascii="Calibri" w:hAnsi="Calibri" w:eastAsia="Calibri" w:cs="Times New Roman"/>
          <w:b/>
          <w:kern w:val="0"/>
          <w:sz w:val="28"/>
          <w:szCs w:val="28"/>
        </w:rPr>
        <w:t>.</w:t>
      </w:r>
      <w:r>
        <w:rPr>
          <w:rFonts w:hint="eastAsia" w:ascii="Calibri" w:hAnsi="Calibri" w:eastAsia="Calibri" w:cs="Times New Roman"/>
          <w:b/>
          <w:kern w:val="0"/>
          <w:sz w:val="28"/>
          <w:szCs w:val="28"/>
        </w:rPr>
        <w:t xml:space="preserve"> </w:t>
      </w:r>
      <w:r>
        <w:rPr>
          <w:rFonts w:hint="eastAsia" w:ascii="宋体" w:hAnsi="宋体" w:eastAsia="宋体" w:cs="宋体"/>
          <w:b/>
          <w:kern w:val="0"/>
          <w:sz w:val="28"/>
          <w:szCs w:val="28"/>
        </w:rPr>
        <w:t>纪律和监督</w:t>
      </w:r>
      <w:bookmarkEnd w:id="168"/>
      <w:bookmarkEnd w:id="169"/>
      <w:bookmarkEnd w:id="170"/>
      <w:bookmarkEnd w:id="171"/>
      <w:bookmarkEnd w:id="172"/>
      <w:bookmarkEnd w:id="173"/>
      <w:bookmarkEnd w:id="174"/>
    </w:p>
    <w:p>
      <w:pPr>
        <w:spacing w:line="380" w:lineRule="exact"/>
        <w:outlineLvl w:val="2"/>
        <w:rPr>
          <w:rFonts w:ascii="Calibri" w:hAnsi="Calibri" w:eastAsia="Calibri" w:cs="Times New Roman"/>
          <w:b/>
          <w:bCs/>
          <w:sz w:val="28"/>
          <w:szCs w:val="28"/>
        </w:rPr>
      </w:pPr>
      <w:bookmarkStart w:id="175" w:name="_Toc322503150"/>
      <w:bookmarkStart w:id="176" w:name="_Toc152042351"/>
      <w:bookmarkStart w:id="177" w:name="_Toc144974543"/>
      <w:bookmarkStart w:id="178" w:name="_Toc152045575"/>
      <w:bookmarkStart w:id="179" w:name="_Toc269310963"/>
      <w:bookmarkStart w:id="180" w:name="_Toc397975287"/>
      <w:r>
        <w:rPr>
          <w:rFonts w:hint="eastAsia" w:ascii="Calibri" w:hAnsi="Calibri" w:eastAsia="宋体" w:cs="Times New Roman"/>
          <w:b/>
          <w:bCs/>
          <w:sz w:val="28"/>
          <w:szCs w:val="28"/>
        </w:rPr>
        <w:t>9</w:t>
      </w:r>
      <w:r>
        <w:rPr>
          <w:rFonts w:ascii="Calibri" w:hAnsi="Calibri" w:eastAsia="Calibri" w:cs="Times New Roman"/>
          <w:b/>
          <w:bCs/>
          <w:sz w:val="28"/>
          <w:szCs w:val="28"/>
        </w:rPr>
        <w:t xml:space="preserve">.1 </w:t>
      </w:r>
      <w:r>
        <w:rPr>
          <w:rFonts w:hint="eastAsia" w:ascii="宋体" w:hAnsi="宋体" w:eastAsia="宋体" w:cs="宋体"/>
          <w:b/>
          <w:bCs/>
          <w:sz w:val="28"/>
          <w:szCs w:val="28"/>
        </w:rPr>
        <w:t>对招标人的纪律要求</w:t>
      </w:r>
      <w:bookmarkEnd w:id="175"/>
      <w:bookmarkEnd w:id="176"/>
      <w:bookmarkEnd w:id="177"/>
      <w:bookmarkEnd w:id="178"/>
      <w:bookmarkEnd w:id="179"/>
      <w:bookmarkEnd w:id="180"/>
    </w:p>
    <w:p>
      <w:pPr>
        <w:spacing w:line="380" w:lineRule="exact"/>
        <w:ind w:firstLine="420"/>
        <w:rPr>
          <w:rFonts w:ascii="Calibri" w:hAnsi="Calibri" w:eastAsia="宋体" w:cs="Times New Roman"/>
          <w:szCs w:val="21"/>
        </w:rPr>
      </w:pPr>
      <w:r>
        <w:rPr>
          <w:rFonts w:ascii="Calibri" w:hAnsi="Calibri" w:eastAsia="宋体" w:cs="Times New Roman"/>
          <w:szCs w:val="21"/>
        </w:rPr>
        <w:t>招标人不得泄露招标投标活动中应当保密的情况和资料，不得与投标人串通损害国家利益、社会公众利益或者他人合法权益。</w:t>
      </w:r>
    </w:p>
    <w:p>
      <w:pPr>
        <w:spacing w:line="380" w:lineRule="exact"/>
        <w:outlineLvl w:val="2"/>
        <w:rPr>
          <w:rFonts w:ascii="Calibri" w:hAnsi="Calibri" w:eastAsia="Calibri" w:cs="Times New Roman"/>
          <w:b/>
          <w:bCs/>
          <w:sz w:val="28"/>
          <w:szCs w:val="28"/>
        </w:rPr>
      </w:pPr>
      <w:bookmarkStart w:id="181" w:name="_Toc152042352"/>
      <w:bookmarkStart w:id="182" w:name="_Toc152045576"/>
      <w:bookmarkStart w:id="183" w:name="_Toc269310964"/>
      <w:bookmarkStart w:id="184" w:name="_Toc397975288"/>
      <w:bookmarkStart w:id="185" w:name="_Toc144974544"/>
      <w:bookmarkStart w:id="186" w:name="_Toc322503151"/>
      <w:r>
        <w:rPr>
          <w:rFonts w:hint="eastAsia" w:ascii="Calibri" w:hAnsi="Calibri" w:eastAsia="宋体" w:cs="Times New Roman"/>
          <w:b/>
          <w:bCs/>
          <w:sz w:val="28"/>
          <w:szCs w:val="28"/>
        </w:rPr>
        <w:t>9</w:t>
      </w:r>
      <w:r>
        <w:rPr>
          <w:rFonts w:ascii="Calibri" w:hAnsi="Calibri" w:eastAsia="Calibri" w:cs="Times New Roman"/>
          <w:b/>
          <w:bCs/>
          <w:sz w:val="28"/>
          <w:szCs w:val="28"/>
        </w:rPr>
        <w:t xml:space="preserve">.2 </w:t>
      </w:r>
      <w:r>
        <w:rPr>
          <w:rFonts w:hint="eastAsia" w:ascii="宋体" w:hAnsi="宋体" w:eastAsia="宋体" w:cs="宋体"/>
          <w:b/>
          <w:bCs/>
          <w:sz w:val="28"/>
          <w:szCs w:val="28"/>
        </w:rPr>
        <w:t>对投标人的纪律要求</w:t>
      </w:r>
      <w:bookmarkEnd w:id="181"/>
      <w:bookmarkEnd w:id="182"/>
      <w:bookmarkEnd w:id="183"/>
      <w:bookmarkEnd w:id="184"/>
      <w:bookmarkEnd w:id="185"/>
      <w:bookmarkEnd w:id="186"/>
    </w:p>
    <w:p>
      <w:pPr>
        <w:spacing w:line="380" w:lineRule="exact"/>
        <w:ind w:firstLine="420"/>
        <w:rPr>
          <w:rFonts w:ascii="Calibri" w:hAnsi="Calibri" w:eastAsia="宋体" w:cs="Times New Roman"/>
          <w:szCs w:val="21"/>
        </w:rPr>
      </w:pPr>
      <w:bookmarkStart w:id="187" w:name="_Toc144974545"/>
      <w:bookmarkStart w:id="188" w:name="_Toc152045577"/>
      <w:bookmarkStart w:id="189" w:name="_Toc152042353"/>
      <w:bookmarkStart w:id="190" w:name="_Toc322503152"/>
      <w:bookmarkStart w:id="191" w:name="_Toc269310965"/>
      <w:r>
        <w:rPr>
          <w:rFonts w:ascii="Calibri" w:hAnsi="Calibri" w:eastAsia="宋体" w:cs="Times New Roman"/>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380" w:lineRule="exact"/>
        <w:outlineLvl w:val="2"/>
        <w:rPr>
          <w:rFonts w:ascii="Calibri" w:hAnsi="Calibri" w:eastAsia="Calibri" w:cs="Times New Roman"/>
          <w:b/>
          <w:bCs/>
          <w:sz w:val="28"/>
          <w:szCs w:val="28"/>
        </w:rPr>
      </w:pPr>
      <w:bookmarkStart w:id="192" w:name="_Toc397975289"/>
      <w:r>
        <w:rPr>
          <w:rFonts w:hint="eastAsia" w:ascii="Calibri" w:hAnsi="Calibri" w:eastAsia="宋体" w:cs="Times New Roman"/>
          <w:b/>
          <w:bCs/>
          <w:sz w:val="28"/>
          <w:szCs w:val="28"/>
        </w:rPr>
        <w:t>9</w:t>
      </w:r>
      <w:r>
        <w:rPr>
          <w:rFonts w:ascii="Calibri" w:hAnsi="Calibri" w:eastAsia="Calibri" w:cs="Times New Roman"/>
          <w:b/>
          <w:bCs/>
          <w:sz w:val="28"/>
          <w:szCs w:val="28"/>
        </w:rPr>
        <w:t xml:space="preserve">.3 </w:t>
      </w:r>
      <w:r>
        <w:rPr>
          <w:rFonts w:hint="eastAsia" w:ascii="宋体" w:hAnsi="宋体" w:eastAsia="宋体" w:cs="宋体"/>
          <w:b/>
          <w:bCs/>
          <w:sz w:val="28"/>
          <w:szCs w:val="28"/>
        </w:rPr>
        <w:t>对评标委员会成员的纪律要求</w:t>
      </w:r>
      <w:bookmarkEnd w:id="187"/>
      <w:bookmarkEnd w:id="188"/>
      <w:bookmarkEnd w:id="189"/>
      <w:bookmarkEnd w:id="190"/>
      <w:bookmarkEnd w:id="191"/>
      <w:bookmarkEnd w:id="192"/>
    </w:p>
    <w:p>
      <w:pPr>
        <w:spacing w:line="380" w:lineRule="exact"/>
        <w:ind w:firstLine="420"/>
        <w:rPr>
          <w:rFonts w:ascii="Calibri" w:hAnsi="Calibri" w:eastAsia="宋体" w:cs="Times New Roman"/>
          <w:szCs w:val="21"/>
        </w:rPr>
      </w:pPr>
      <w:bookmarkStart w:id="193" w:name="_Toc366679707"/>
      <w:bookmarkStart w:id="194" w:name="_Toc247085736"/>
      <w:bookmarkStart w:id="195" w:name="_Toc179632596"/>
      <w:bookmarkStart w:id="196" w:name="_Toc246996965"/>
      <w:bookmarkStart w:id="197" w:name="_Toc152042354"/>
      <w:bookmarkStart w:id="198" w:name="_Toc152045578"/>
      <w:bookmarkStart w:id="199" w:name="_Toc246996222"/>
      <w:bookmarkStart w:id="200" w:name="_Toc144974546"/>
      <w:r>
        <w:rPr>
          <w:rFonts w:ascii="Calibri" w:hAnsi="Calibri" w:eastAsia="宋体" w:cs="Times New Roman"/>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没有规定的评审因素和标准进行评标。</w:t>
      </w:r>
    </w:p>
    <w:p>
      <w:pPr>
        <w:spacing w:line="380" w:lineRule="exact"/>
        <w:outlineLvl w:val="2"/>
        <w:rPr>
          <w:rFonts w:ascii="Calibri" w:hAnsi="Calibri" w:eastAsia="Calibri" w:cs="Times New Roman"/>
          <w:b/>
          <w:bCs/>
          <w:sz w:val="28"/>
          <w:szCs w:val="28"/>
        </w:rPr>
      </w:pPr>
      <w:bookmarkStart w:id="201" w:name="_Toc397975290"/>
      <w:r>
        <w:rPr>
          <w:rFonts w:hint="eastAsia" w:ascii="Calibri" w:hAnsi="Calibri" w:eastAsia="宋体" w:cs="Times New Roman"/>
          <w:b/>
          <w:bCs/>
          <w:sz w:val="28"/>
          <w:szCs w:val="28"/>
        </w:rPr>
        <w:t>9</w:t>
      </w:r>
      <w:r>
        <w:rPr>
          <w:rFonts w:ascii="Calibri" w:hAnsi="Calibri" w:eastAsia="Calibri" w:cs="Times New Roman"/>
          <w:b/>
          <w:bCs/>
          <w:sz w:val="28"/>
          <w:szCs w:val="28"/>
        </w:rPr>
        <w:t xml:space="preserve">.4 </w:t>
      </w:r>
      <w:r>
        <w:rPr>
          <w:rFonts w:hint="eastAsia" w:ascii="宋体" w:hAnsi="宋体" w:eastAsia="宋体" w:cs="宋体"/>
          <w:b/>
          <w:bCs/>
          <w:sz w:val="28"/>
          <w:szCs w:val="28"/>
        </w:rPr>
        <w:t>对与评标活动有关的工作人员的纪律要求</w:t>
      </w:r>
      <w:bookmarkEnd w:id="193"/>
      <w:bookmarkEnd w:id="194"/>
      <w:bookmarkEnd w:id="195"/>
      <w:bookmarkEnd w:id="196"/>
      <w:bookmarkEnd w:id="197"/>
      <w:bookmarkEnd w:id="198"/>
      <w:bookmarkEnd w:id="199"/>
      <w:bookmarkEnd w:id="201"/>
    </w:p>
    <w:p>
      <w:pPr>
        <w:spacing w:line="380" w:lineRule="exact"/>
        <w:ind w:firstLine="420"/>
        <w:rPr>
          <w:rFonts w:ascii="Calibri" w:hAnsi="Calibri" w:eastAsia="宋体" w:cs="Times New Roman"/>
          <w:szCs w:val="21"/>
        </w:rPr>
      </w:pPr>
      <w:bookmarkStart w:id="202" w:name="_Toc152042355"/>
      <w:bookmarkStart w:id="203" w:name="_Toc247085737"/>
      <w:bookmarkStart w:id="204" w:name="_Toc246996966"/>
      <w:bookmarkStart w:id="205" w:name="_Toc366679708"/>
      <w:bookmarkStart w:id="206" w:name="_Toc152045579"/>
      <w:bookmarkStart w:id="207" w:name="_Toc152042356"/>
      <w:bookmarkStart w:id="208" w:name="_Toc246996223"/>
      <w:bookmarkStart w:id="209" w:name="_Toc179632597"/>
      <w:r>
        <w:rPr>
          <w:rFonts w:ascii="Calibri" w:hAnsi="Calibri" w:eastAsia="宋体" w:cs="Times New Roman"/>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202"/>
    </w:p>
    <w:p>
      <w:pPr>
        <w:spacing w:line="380" w:lineRule="exact"/>
        <w:outlineLvl w:val="2"/>
        <w:rPr>
          <w:rFonts w:ascii="Calibri" w:hAnsi="Calibri" w:eastAsia="Calibri" w:cs="Times New Roman"/>
          <w:b/>
          <w:bCs/>
          <w:sz w:val="28"/>
          <w:szCs w:val="28"/>
        </w:rPr>
      </w:pPr>
      <w:bookmarkStart w:id="210" w:name="_Toc397975291"/>
      <w:r>
        <w:rPr>
          <w:rFonts w:hint="eastAsia" w:ascii="Calibri" w:hAnsi="Calibri" w:eastAsia="宋体" w:cs="Times New Roman"/>
          <w:b/>
          <w:bCs/>
          <w:sz w:val="28"/>
          <w:szCs w:val="28"/>
        </w:rPr>
        <w:t>9</w:t>
      </w:r>
      <w:r>
        <w:rPr>
          <w:rFonts w:ascii="Calibri" w:hAnsi="Calibri" w:eastAsia="Calibri" w:cs="Times New Roman"/>
          <w:b/>
          <w:bCs/>
          <w:sz w:val="28"/>
          <w:szCs w:val="28"/>
        </w:rPr>
        <w:t xml:space="preserve">.5 </w:t>
      </w:r>
      <w:r>
        <w:rPr>
          <w:rFonts w:hint="eastAsia" w:ascii="宋体" w:hAnsi="宋体" w:eastAsia="宋体" w:cs="宋体"/>
          <w:b/>
          <w:bCs/>
          <w:sz w:val="28"/>
          <w:szCs w:val="28"/>
        </w:rPr>
        <w:t>异议与投诉</w:t>
      </w:r>
      <w:bookmarkEnd w:id="200"/>
      <w:bookmarkEnd w:id="203"/>
      <w:bookmarkEnd w:id="204"/>
      <w:bookmarkEnd w:id="205"/>
      <w:bookmarkEnd w:id="206"/>
      <w:bookmarkEnd w:id="207"/>
      <w:bookmarkEnd w:id="208"/>
      <w:bookmarkEnd w:id="209"/>
      <w:bookmarkEnd w:id="210"/>
    </w:p>
    <w:p>
      <w:pPr>
        <w:spacing w:line="380" w:lineRule="exact"/>
        <w:ind w:firstLine="420" w:firstLineChars="200"/>
        <w:rPr>
          <w:rFonts w:ascii="Calibri" w:hAnsi="Calibri" w:eastAsia="宋体" w:cs="Calibri"/>
          <w:szCs w:val="20"/>
        </w:rPr>
      </w:pPr>
      <w:r>
        <w:rPr>
          <w:rFonts w:hint="eastAsia" w:ascii="Calibri" w:hAnsi="Calibri" w:eastAsia="宋体" w:cs="Calibri"/>
          <w:szCs w:val="20"/>
        </w:rPr>
        <w:t>9.5.1异议</w:t>
      </w:r>
    </w:p>
    <w:p>
      <w:pPr>
        <w:spacing w:line="380" w:lineRule="exact"/>
        <w:ind w:firstLine="420" w:firstLineChars="200"/>
        <w:rPr>
          <w:rFonts w:ascii="Calibri" w:hAnsi="Calibri" w:eastAsia="宋体" w:cs="Calibri"/>
          <w:szCs w:val="20"/>
        </w:rPr>
      </w:pPr>
      <w:r>
        <w:rPr>
          <w:rFonts w:hint="eastAsia" w:ascii="Calibri" w:hAnsi="Calibri" w:eastAsia="宋体" w:cs="Calibri"/>
          <w:szCs w:val="20"/>
        </w:rPr>
        <w:t>（1）投标人或者其他利害关系人对招标文件有异议的，应当在投标截止时间10日前以书面形式提出。招标人自收到异议之日起3日内作出答复，特殊情况下，需要延长答复时间的，将书面告知异议提出人；作出答复前，招标人将暂停后续招标投标活动。</w:t>
      </w:r>
    </w:p>
    <w:p>
      <w:pPr>
        <w:spacing w:line="380" w:lineRule="exact"/>
        <w:ind w:firstLine="420" w:firstLineChars="200"/>
        <w:rPr>
          <w:rFonts w:ascii="Calibri" w:hAnsi="Calibri" w:eastAsia="宋体" w:cs="Calibri"/>
          <w:szCs w:val="20"/>
        </w:rPr>
      </w:pPr>
      <w:r>
        <w:rPr>
          <w:rFonts w:hint="eastAsia" w:ascii="Calibri" w:hAnsi="Calibri" w:eastAsia="宋体" w:cs="Calibri"/>
          <w:szCs w:val="20"/>
        </w:rPr>
        <w:t>（2）投标人对开标的程序和结果有异议的，应当在开标现场提出，招标人将当场作出答复，并制作记录。</w:t>
      </w:r>
    </w:p>
    <w:p>
      <w:pPr>
        <w:spacing w:line="380" w:lineRule="exact"/>
        <w:ind w:firstLine="420" w:firstLineChars="200"/>
        <w:rPr>
          <w:rFonts w:ascii="Calibri" w:hAnsi="Calibri" w:eastAsia="宋体" w:cs="Calibri"/>
          <w:szCs w:val="20"/>
        </w:rPr>
      </w:pPr>
      <w:r>
        <w:rPr>
          <w:rFonts w:hint="eastAsia" w:ascii="Calibri" w:hAnsi="Calibri" w:eastAsia="宋体" w:cs="Calibri"/>
          <w:szCs w:val="20"/>
        </w:rPr>
        <w:t>（3）投标人或者其他利害关系人对评标结果有异议的，应当在评标结果公示期间提出。</w:t>
      </w:r>
    </w:p>
    <w:p>
      <w:pPr>
        <w:spacing w:line="380" w:lineRule="exact"/>
        <w:ind w:firstLine="420" w:firstLineChars="200"/>
        <w:rPr>
          <w:rFonts w:ascii="Calibri" w:hAnsi="Calibri" w:eastAsia="宋体" w:cs="Calibri"/>
          <w:szCs w:val="20"/>
        </w:rPr>
      </w:pPr>
      <w:r>
        <w:rPr>
          <w:rFonts w:hint="eastAsia" w:ascii="Calibri" w:hAnsi="Calibri" w:eastAsia="宋体" w:cs="Calibri"/>
          <w:szCs w:val="20"/>
        </w:rPr>
        <w:t>前述异议事项，异议提出人未按程序和规定时间提出的，招标人不予受理。同时，亦将丧失进一步提出投诉的权利。</w:t>
      </w:r>
    </w:p>
    <w:p>
      <w:pPr>
        <w:spacing w:line="380" w:lineRule="exact"/>
        <w:ind w:firstLine="420" w:firstLineChars="200"/>
        <w:rPr>
          <w:rFonts w:ascii="Calibri" w:hAnsi="Calibri" w:eastAsia="宋体" w:cs="Calibri"/>
          <w:szCs w:val="20"/>
        </w:rPr>
      </w:pPr>
      <w:r>
        <w:rPr>
          <w:rFonts w:hint="eastAsia" w:ascii="Calibri" w:hAnsi="Calibri" w:eastAsia="宋体" w:cs="Calibri"/>
          <w:szCs w:val="20"/>
        </w:rPr>
        <w:t>9.5.2投诉</w:t>
      </w:r>
    </w:p>
    <w:p>
      <w:pPr>
        <w:spacing w:line="380" w:lineRule="exact"/>
        <w:ind w:firstLine="420" w:firstLineChars="200"/>
        <w:rPr>
          <w:rFonts w:ascii="Calibri" w:hAnsi="Calibri" w:eastAsia="宋体" w:cs="Calibri"/>
          <w:szCs w:val="20"/>
        </w:rPr>
      </w:pPr>
      <w:r>
        <w:rPr>
          <w:rFonts w:hint="eastAsia" w:ascii="Calibri" w:hAnsi="Calibri" w:eastAsia="宋体" w:cs="Calibri"/>
          <w:szCs w:val="20"/>
        </w:rPr>
        <w:t>投标人和其他利害关系人认为本次招标活动违反法律、法规和规章规定的，可以在知道或者应当知道之日起10日内向“投标人须知前附表”明确的招投标监督管理部门提出书面投诉。投诉应当有明确的请求和必要的证明材料。就第9.5.1项</w:t>
      </w:r>
      <w:r>
        <w:rPr>
          <w:rFonts w:hint="eastAsia" w:ascii="Calibri" w:hAnsi="Calibri" w:eastAsia="宋体" w:cs="Calibri"/>
          <w:szCs w:val="21"/>
        </w:rPr>
        <w:t>规定事项提出投诉的，</w:t>
      </w:r>
      <w:r>
        <w:rPr>
          <w:rFonts w:hint="eastAsia" w:ascii="Calibri" w:hAnsi="Calibri" w:eastAsia="宋体" w:cs="Calibri"/>
          <w:szCs w:val="20"/>
        </w:rPr>
        <w:t>应先向招标人提出异议。</w:t>
      </w:r>
    </w:p>
    <w:p>
      <w:pPr>
        <w:spacing w:line="380" w:lineRule="exact"/>
        <w:jc w:val="left"/>
        <w:outlineLvl w:val="0"/>
        <w:rPr>
          <w:rFonts w:ascii="Calibri" w:hAnsi="Calibri" w:eastAsia="Calibri" w:cs="Calibri"/>
          <w:b/>
          <w:bCs/>
          <w:kern w:val="0"/>
          <w:sz w:val="32"/>
          <w:szCs w:val="20"/>
        </w:rPr>
      </w:pPr>
      <w:r>
        <w:rPr>
          <w:rFonts w:hint="eastAsia" w:ascii="Calibri" w:hAnsi="Calibri" w:eastAsia="宋体" w:cs="Calibri"/>
          <w:b/>
          <w:kern w:val="0"/>
          <w:sz w:val="28"/>
          <w:szCs w:val="28"/>
        </w:rPr>
        <w:t>10</w:t>
      </w:r>
      <w:r>
        <w:rPr>
          <w:rFonts w:hint="eastAsia" w:ascii="Calibri" w:hAnsi="Calibri" w:eastAsia="Calibri" w:cs="Calibri"/>
          <w:b/>
          <w:kern w:val="0"/>
          <w:sz w:val="28"/>
          <w:szCs w:val="28"/>
        </w:rPr>
        <w:t>.</w:t>
      </w:r>
      <w:r>
        <w:rPr>
          <w:rFonts w:hint="eastAsia" w:ascii="Calibri" w:hAnsi="Calibri" w:eastAsia="Calibri" w:cs="Calibri"/>
          <w:b/>
          <w:bCs/>
          <w:kern w:val="0"/>
          <w:sz w:val="32"/>
          <w:szCs w:val="20"/>
        </w:rPr>
        <w:t xml:space="preserve"> </w:t>
      </w:r>
      <w:r>
        <w:rPr>
          <w:rFonts w:hint="eastAsia" w:ascii="宋体" w:hAnsi="宋体" w:eastAsia="宋体" w:cs="宋体"/>
          <w:b/>
          <w:bCs/>
          <w:kern w:val="0"/>
          <w:sz w:val="28"/>
          <w:szCs w:val="28"/>
        </w:rPr>
        <w:t>招标人需要补充的其他内容</w:t>
      </w:r>
    </w:p>
    <w:p>
      <w:pPr>
        <w:spacing w:line="380" w:lineRule="exact"/>
        <w:ind w:firstLine="420"/>
        <w:rPr>
          <w:rFonts w:ascii="Calibri" w:hAnsi="Calibri" w:eastAsia="宋体" w:cs="Times New Roman"/>
          <w:szCs w:val="21"/>
        </w:rPr>
      </w:pPr>
      <w:r>
        <w:rPr>
          <w:rFonts w:hint="eastAsia" w:ascii="Calibri" w:hAnsi="Calibri" w:eastAsia="宋体" w:cs="Times New Roman"/>
          <w:szCs w:val="21"/>
        </w:rPr>
        <w:t>需要补充的其他内容：见投标人须知前附表。</w:t>
      </w:r>
    </w:p>
    <w:p>
      <w:pPr>
        <w:spacing w:before="340" w:after="330" w:line="578" w:lineRule="auto"/>
        <w:jc w:val="center"/>
        <w:outlineLvl w:val="0"/>
        <w:rPr>
          <w:rFonts w:ascii="Times New Roman" w:hAnsi="Times New Roman" w:eastAsia="宋体" w:cs="Times New Roman"/>
          <w:b/>
          <w:bCs/>
          <w:kern w:val="44"/>
          <w:sz w:val="36"/>
          <w:szCs w:val="36"/>
        </w:rPr>
      </w:pPr>
      <w:r>
        <w:rPr>
          <w:rFonts w:hint="eastAsia" w:ascii="Times New Roman" w:hAnsi="Times New Roman" w:eastAsia="宋体" w:cs="Times New Roman"/>
          <w:b/>
          <w:bCs/>
          <w:kern w:val="44"/>
          <w:sz w:val="44"/>
          <w:szCs w:val="44"/>
        </w:rPr>
        <w:br w:type="page"/>
      </w:r>
      <w:r>
        <w:rPr>
          <w:rFonts w:hint="eastAsia" w:ascii="Times New Roman" w:hAnsi="Times New Roman" w:eastAsia="宋体" w:cs="Times New Roman"/>
          <w:b/>
          <w:bCs/>
          <w:kern w:val="44"/>
          <w:sz w:val="36"/>
          <w:szCs w:val="36"/>
        </w:rPr>
        <w:t>第三章评标办法</w:t>
      </w:r>
      <w:bookmarkStart w:id="211" w:name="_Toc12629"/>
      <w:bookmarkStart w:id="212" w:name="_Toc397928601"/>
      <w:bookmarkStart w:id="213" w:name="_Toc184635093"/>
      <w:r>
        <w:rPr>
          <w:rFonts w:hint="eastAsia" w:ascii="Times New Roman" w:hAnsi="Times New Roman" w:eastAsia="宋体" w:cs="Times New Roman"/>
          <w:b/>
          <w:bCs/>
          <w:kern w:val="44"/>
          <w:sz w:val="36"/>
          <w:szCs w:val="36"/>
        </w:rPr>
        <w:t>（经评审的最低投标价法）</w:t>
      </w:r>
    </w:p>
    <w:p>
      <w:pPr>
        <w:rPr>
          <w:rFonts w:ascii="宋体" w:hAnsi="宋体" w:eastAsia="宋体" w:cs="Times New Roman"/>
          <w:szCs w:val="20"/>
        </w:rPr>
      </w:pPr>
      <w:bookmarkStart w:id="214" w:name="EB14fc55bdbac94e09a72b02328ffdfaf9"/>
      <w:bookmarkEnd w:id="214"/>
      <w:bookmarkStart w:id="215" w:name="EBbd5ecbe7b7df481196a3a3acb857bcae"/>
      <w:bookmarkEnd w:id="215"/>
    </w:p>
    <w:tbl>
      <w:tblPr>
        <w:tblStyle w:val="23"/>
        <w:tblW w:w="9765" w:type="dxa"/>
        <w:tblInd w:w="-8"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793"/>
        <w:gridCol w:w="1877"/>
        <w:gridCol w:w="336"/>
        <w:gridCol w:w="1136"/>
        <w:gridCol w:w="1528"/>
        <w:gridCol w:w="4095"/>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765" w:type="dxa"/>
            <w:gridSpan w:val="6"/>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eastAsia="宋体" w:cs="Times New Roman"/>
                <w:szCs w:val="20"/>
              </w:rPr>
            </w:pPr>
            <w:r>
              <w:rPr>
                <w:rFonts w:ascii="宋体" w:hAnsi="宋体" w:eastAsia="宋体" w:cs="Times New Roman"/>
                <w:kern w:val="0"/>
                <w:sz w:val="24"/>
                <w:szCs w:val="20"/>
              </w:rPr>
              <w:t>评标入围</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8" w:hRule="atLeast"/>
        </w:trPr>
        <w:tc>
          <w:tcPr>
            <w:tcW w:w="3006" w:type="dxa"/>
            <w:gridSpan w:val="3"/>
            <w:tcBorders>
              <w:top w:val="outset" w:color="auto" w:sz="6" w:space="0"/>
              <w:left w:val="outset" w:color="auto" w:sz="6" w:space="0"/>
              <w:bottom w:val="outset" w:color="auto" w:sz="6" w:space="0"/>
              <w:right w:val="outset" w:color="auto" w:sz="6" w:space="0"/>
            </w:tcBorders>
            <w:noWrap/>
          </w:tcPr>
          <w:p>
            <w:pPr>
              <w:autoSpaceDE w:val="0"/>
              <w:autoSpaceDN w:val="0"/>
              <w:adjustRightInd w:val="0"/>
              <w:spacing w:before="73"/>
              <w:ind w:left="744" w:right="-20"/>
              <w:jc w:val="left"/>
              <w:rPr>
                <w:rFonts w:ascii="宋体" w:hAnsi="宋体" w:eastAsia="宋体" w:cs="Times New Roman"/>
                <w:kern w:val="0"/>
                <w:sz w:val="24"/>
                <w:szCs w:val="20"/>
              </w:rPr>
            </w:pPr>
            <w:r>
              <w:rPr>
                <w:rFonts w:hint="eastAsia" w:ascii="宋体" w:hAnsi="宋体" w:eastAsia="宋体" w:cs="MingLiU"/>
                <w:spacing w:val="1"/>
                <w:kern w:val="0"/>
                <w:szCs w:val="21"/>
              </w:rPr>
              <w:t>条款号</w:t>
            </w:r>
          </w:p>
        </w:tc>
        <w:tc>
          <w:tcPr>
            <w:tcW w:w="6759" w:type="dxa"/>
            <w:gridSpan w:val="3"/>
            <w:tcBorders>
              <w:top w:val="outset" w:color="auto" w:sz="6" w:space="0"/>
              <w:left w:val="outset" w:color="auto" w:sz="6" w:space="0"/>
              <w:bottom w:val="outset" w:color="auto" w:sz="6" w:space="0"/>
              <w:right w:val="outset" w:color="auto" w:sz="6" w:space="0"/>
            </w:tcBorders>
            <w:noWrap/>
          </w:tcPr>
          <w:p>
            <w:pPr>
              <w:autoSpaceDE w:val="0"/>
              <w:autoSpaceDN w:val="0"/>
              <w:adjustRightInd w:val="0"/>
              <w:spacing w:before="73"/>
              <w:jc w:val="center"/>
              <w:rPr>
                <w:rFonts w:ascii="宋体" w:hAnsi="宋体" w:eastAsia="宋体" w:cs="Times New Roman"/>
                <w:kern w:val="0"/>
                <w:sz w:val="24"/>
                <w:szCs w:val="20"/>
              </w:rPr>
            </w:pPr>
            <w:r>
              <w:rPr>
                <w:rFonts w:hint="eastAsia" w:ascii="宋体" w:hAnsi="宋体" w:eastAsia="宋体" w:cs="MingLiU"/>
                <w:spacing w:val="1"/>
                <w:kern w:val="0"/>
                <w:szCs w:val="21"/>
              </w:rPr>
              <w:t>评审标准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793" w:type="dxa"/>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eastAsia="宋体" w:cs="Times New Roman"/>
                <w:szCs w:val="20"/>
              </w:rPr>
            </w:pPr>
            <w:r>
              <w:rPr>
                <w:rFonts w:hint="eastAsia" w:ascii="宋体" w:hAnsi="宋体" w:eastAsia="宋体" w:cs="Times New Roman"/>
                <w:szCs w:val="20"/>
              </w:rPr>
              <w:t>2.1.1</w:t>
            </w:r>
          </w:p>
        </w:tc>
        <w:tc>
          <w:tcPr>
            <w:tcW w:w="2213" w:type="dxa"/>
            <w:gridSpan w:val="2"/>
            <w:tcBorders>
              <w:top w:val="outset" w:color="auto" w:sz="6" w:space="0"/>
              <w:left w:val="outset" w:color="auto" w:sz="6" w:space="0"/>
              <w:bottom w:val="outset" w:color="auto" w:sz="6" w:space="0"/>
              <w:right w:val="outset" w:color="auto" w:sz="6" w:space="0"/>
            </w:tcBorders>
            <w:noWrap/>
          </w:tcPr>
          <w:p>
            <w:pPr>
              <w:autoSpaceDE w:val="0"/>
              <w:autoSpaceDN w:val="0"/>
              <w:adjustRightInd w:val="0"/>
              <w:spacing w:before="73"/>
              <w:ind w:left="47" w:right="-20"/>
              <w:jc w:val="left"/>
              <w:rPr>
                <w:rFonts w:ascii="宋体" w:hAnsi="宋体" w:eastAsia="宋体" w:cs="Times New Roman"/>
                <w:kern w:val="0"/>
                <w:szCs w:val="21"/>
              </w:rPr>
            </w:pPr>
            <w:r>
              <w:rPr>
                <w:rFonts w:hint="eastAsia" w:ascii="宋体" w:hAnsi="宋体" w:eastAsia="宋体" w:cs="Times New Roman"/>
                <w:kern w:val="0"/>
                <w:szCs w:val="21"/>
              </w:rPr>
              <w:t>评标入围条件</w:t>
            </w:r>
          </w:p>
        </w:tc>
        <w:tc>
          <w:tcPr>
            <w:tcW w:w="6759" w:type="dxa"/>
            <w:gridSpan w:val="3"/>
            <w:tcBorders>
              <w:top w:val="outset" w:color="auto" w:sz="6" w:space="0"/>
              <w:left w:val="outset" w:color="auto" w:sz="6" w:space="0"/>
              <w:bottom w:val="outset" w:color="auto" w:sz="6" w:space="0"/>
              <w:right w:val="outset" w:color="auto" w:sz="6" w:space="0"/>
            </w:tcBorders>
            <w:noWrap/>
            <w:vAlign w:val="center"/>
          </w:tcPr>
          <w:p>
            <w:pPr>
              <w:rPr>
                <w:rFonts w:ascii="宋体" w:hAnsi="宋体" w:eastAsia="宋体" w:cs="Times New Roman"/>
                <w:szCs w:val="20"/>
              </w:rPr>
            </w:pPr>
            <w:r>
              <w:rPr>
                <w:rFonts w:hint="eastAsia" w:ascii="宋体" w:hAnsi="宋体" w:eastAsia="宋体" w:cs="Times New Roman"/>
                <w:szCs w:val="20"/>
              </w:rPr>
              <w:t>投标文件存在所列情况之一的，不再进行后续评标</w:t>
            </w:r>
          </w:p>
          <w:p>
            <w:pPr>
              <w:rPr>
                <w:rFonts w:ascii="宋体" w:hAnsi="宋体" w:eastAsia="宋体" w:cs="Times New Roman"/>
                <w:szCs w:val="20"/>
              </w:rPr>
            </w:pPr>
            <w:r>
              <w:rPr>
                <w:rFonts w:hint="eastAsia" w:ascii="宋体" w:hAnsi="宋体" w:eastAsia="宋体" w:cs="Times New Roman"/>
                <w:szCs w:val="20"/>
              </w:rPr>
              <w:t>1.投标函中载明的招标项目完成期限超过招标文件规定的期限；</w:t>
            </w:r>
          </w:p>
          <w:p>
            <w:pPr>
              <w:rPr>
                <w:rFonts w:ascii="宋体" w:hAnsi="宋体" w:eastAsia="宋体" w:cs="Times New Roman"/>
                <w:szCs w:val="20"/>
              </w:rPr>
            </w:pPr>
            <w:r>
              <w:rPr>
                <w:rFonts w:hint="eastAsia" w:ascii="宋体" w:hAnsi="宋体" w:eastAsia="宋体" w:cs="Times New Roman"/>
                <w:szCs w:val="20"/>
              </w:rPr>
              <w:t>2.投标函中载明的投标质量标准未响应招标文件的实质性要求和条件；</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PrEx>
        <w:tc>
          <w:tcPr>
            <w:tcW w:w="793" w:type="dxa"/>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eastAsia="宋体" w:cs="Times New Roman"/>
                <w:szCs w:val="20"/>
              </w:rPr>
            </w:pPr>
            <w:r>
              <w:rPr>
                <w:rFonts w:hint="eastAsia" w:ascii="宋体" w:hAnsi="宋体" w:eastAsia="宋体" w:cs="Times New Roman"/>
                <w:szCs w:val="20"/>
              </w:rPr>
              <w:t>2.1.2</w:t>
            </w:r>
          </w:p>
        </w:tc>
        <w:tc>
          <w:tcPr>
            <w:tcW w:w="2213" w:type="dxa"/>
            <w:gridSpan w:val="2"/>
            <w:tcBorders>
              <w:top w:val="outset" w:color="auto" w:sz="6" w:space="0"/>
              <w:left w:val="outset" w:color="auto" w:sz="6" w:space="0"/>
              <w:bottom w:val="outset" w:color="auto" w:sz="6" w:space="0"/>
              <w:right w:val="outset" w:color="auto" w:sz="6" w:space="0"/>
            </w:tcBorders>
            <w:noWrap/>
          </w:tcPr>
          <w:p>
            <w:pPr>
              <w:autoSpaceDE w:val="0"/>
              <w:autoSpaceDN w:val="0"/>
              <w:adjustRightInd w:val="0"/>
              <w:spacing w:before="73"/>
              <w:ind w:left="47" w:right="-20"/>
              <w:jc w:val="left"/>
              <w:rPr>
                <w:rFonts w:ascii="宋体" w:hAnsi="宋体" w:eastAsia="宋体" w:cs="Times New Roman"/>
                <w:kern w:val="0"/>
                <w:szCs w:val="21"/>
              </w:rPr>
            </w:pPr>
            <w:r>
              <w:rPr>
                <w:rFonts w:hint="eastAsia" w:ascii="宋体" w:hAnsi="宋体" w:eastAsia="宋体" w:cs="Times New Roman"/>
                <w:kern w:val="0"/>
                <w:szCs w:val="21"/>
              </w:rPr>
              <w:t>评标入围方法和数量</w:t>
            </w:r>
          </w:p>
        </w:tc>
        <w:tc>
          <w:tcPr>
            <w:tcW w:w="6759" w:type="dxa"/>
            <w:gridSpan w:val="3"/>
            <w:tcBorders>
              <w:top w:val="outset" w:color="auto" w:sz="6" w:space="0"/>
              <w:left w:val="outset" w:color="auto" w:sz="6" w:space="0"/>
              <w:bottom w:val="outset" w:color="auto" w:sz="6" w:space="0"/>
              <w:right w:val="outset" w:color="auto" w:sz="6" w:space="0"/>
            </w:tcBorders>
            <w:noWrap/>
            <w:vAlign w:val="center"/>
          </w:tcPr>
          <w:p>
            <w:pPr>
              <w:rPr>
                <w:rFonts w:ascii="宋体" w:hAnsi="宋体" w:eastAsia="宋体" w:cs="Times New Roman"/>
                <w:szCs w:val="20"/>
              </w:rPr>
            </w:pPr>
            <w:r>
              <w:rPr>
                <w:rFonts w:hint="eastAsia" w:ascii="宋体" w:hAnsi="宋体" w:eastAsia="宋体" w:cs="Times New Roman"/>
                <w:szCs w:val="20"/>
              </w:rPr>
              <w:t>评标入围方法：全部入围。</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PrEx>
        <w:tc>
          <w:tcPr>
            <w:tcW w:w="9765" w:type="dxa"/>
            <w:gridSpan w:val="6"/>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eastAsia="宋体" w:cs="Times New Roman"/>
                <w:szCs w:val="20"/>
              </w:rPr>
            </w:pPr>
            <w:r>
              <w:rPr>
                <w:rFonts w:ascii="宋体" w:hAnsi="宋体" w:eastAsia="宋体" w:cs="Times New Roman"/>
                <w:szCs w:val="20"/>
              </w:rPr>
              <w:t>初步评审</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3006" w:type="dxa"/>
            <w:gridSpan w:val="3"/>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eastAsia="宋体" w:cs="Times New Roman"/>
                <w:szCs w:val="20"/>
              </w:rPr>
            </w:pPr>
            <w:r>
              <w:rPr>
                <w:rFonts w:ascii="宋体" w:hAnsi="宋体" w:eastAsia="宋体" w:cs="Times New Roman"/>
                <w:szCs w:val="20"/>
              </w:rPr>
              <w:t>条款号</w:t>
            </w:r>
          </w:p>
        </w:tc>
        <w:tc>
          <w:tcPr>
            <w:tcW w:w="2664" w:type="dxa"/>
            <w:gridSpan w:val="2"/>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eastAsia="宋体" w:cs="Times New Roman"/>
                <w:szCs w:val="20"/>
              </w:rPr>
            </w:pPr>
            <w:r>
              <w:rPr>
                <w:rFonts w:ascii="宋体" w:hAnsi="宋体" w:eastAsia="宋体" w:cs="Times New Roman"/>
                <w:szCs w:val="20"/>
              </w:rPr>
              <w:t>评审因素</w:t>
            </w:r>
          </w:p>
        </w:tc>
        <w:tc>
          <w:tcPr>
            <w:tcW w:w="4095" w:type="dxa"/>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eastAsia="宋体" w:cs="Times New Roman"/>
                <w:szCs w:val="20"/>
              </w:rPr>
            </w:pPr>
            <w:r>
              <w:rPr>
                <w:rFonts w:ascii="宋体" w:hAnsi="宋体" w:eastAsia="宋体" w:cs="Times New Roman"/>
                <w:szCs w:val="20"/>
              </w:rPr>
              <w:t>评审标准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PrEx>
        <w:tc>
          <w:tcPr>
            <w:tcW w:w="793" w:type="dxa"/>
            <w:vMerge w:val="restart"/>
            <w:tcBorders>
              <w:top w:val="outset" w:color="auto" w:sz="6" w:space="0"/>
              <w:left w:val="outset" w:color="auto" w:sz="6" w:space="0"/>
              <w:bottom w:val="outset" w:color="auto" w:sz="6" w:space="0"/>
              <w:right w:val="outset" w:color="auto" w:sz="6" w:space="0"/>
            </w:tcBorders>
            <w:noWrap/>
            <w:vAlign w:val="center"/>
          </w:tcPr>
          <w:p>
            <w:pPr>
              <w:jc w:val="left"/>
              <w:rPr>
                <w:rFonts w:ascii="宋体" w:hAnsi="宋体" w:eastAsia="宋体" w:cs="Times New Roman"/>
                <w:szCs w:val="20"/>
              </w:rPr>
            </w:pPr>
            <w:r>
              <w:rPr>
                <w:rFonts w:ascii="宋体" w:hAnsi="宋体" w:eastAsia="宋体" w:cs="Times New Roman"/>
                <w:szCs w:val="20"/>
              </w:rPr>
              <w:t>2.</w:t>
            </w:r>
            <w:r>
              <w:rPr>
                <w:rFonts w:hint="eastAsia" w:ascii="宋体" w:hAnsi="宋体" w:eastAsia="宋体" w:cs="Times New Roman"/>
                <w:szCs w:val="20"/>
              </w:rPr>
              <w:t>2</w:t>
            </w:r>
            <w:r>
              <w:rPr>
                <w:rFonts w:ascii="宋体" w:hAnsi="宋体" w:eastAsia="宋体" w:cs="Times New Roman"/>
                <w:szCs w:val="20"/>
              </w:rPr>
              <w:t>.1</w:t>
            </w:r>
          </w:p>
        </w:tc>
        <w:tc>
          <w:tcPr>
            <w:tcW w:w="2213" w:type="dxa"/>
            <w:gridSpan w:val="2"/>
            <w:vMerge w:val="restart"/>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eastAsia="宋体" w:cs="Times New Roman"/>
                <w:szCs w:val="20"/>
              </w:rPr>
            </w:pPr>
            <w:r>
              <w:rPr>
                <w:rFonts w:ascii="宋体" w:hAnsi="宋体" w:eastAsia="宋体" w:cs="Times New Roman"/>
                <w:szCs w:val="20"/>
              </w:rPr>
              <w:t>形式评审标准</w:t>
            </w:r>
          </w:p>
        </w:tc>
        <w:tc>
          <w:tcPr>
            <w:tcW w:w="2664" w:type="dxa"/>
            <w:gridSpan w:val="2"/>
            <w:tcBorders>
              <w:top w:val="outset" w:color="auto" w:sz="6" w:space="0"/>
              <w:left w:val="outset" w:color="auto" w:sz="6" w:space="0"/>
              <w:bottom w:val="outset" w:color="auto" w:sz="6" w:space="0"/>
              <w:right w:val="outset" w:color="auto" w:sz="6" w:space="0"/>
            </w:tcBorders>
            <w:noWrap/>
            <w:vAlign w:val="center"/>
          </w:tcPr>
          <w:p>
            <w:pPr>
              <w:rPr>
                <w:rFonts w:ascii="宋体" w:hAnsi="宋体" w:eastAsia="宋体" w:cs="Times New Roman"/>
                <w:szCs w:val="20"/>
              </w:rPr>
            </w:pPr>
            <w:r>
              <w:rPr>
                <w:rFonts w:ascii="宋体" w:hAnsi="宋体" w:eastAsia="宋体" w:cs="Times New Roman"/>
                <w:szCs w:val="20"/>
              </w:rPr>
              <w:t>投标人名称</w:t>
            </w:r>
          </w:p>
        </w:tc>
        <w:tc>
          <w:tcPr>
            <w:tcW w:w="4095" w:type="dxa"/>
            <w:tcBorders>
              <w:top w:val="outset" w:color="auto" w:sz="6" w:space="0"/>
              <w:left w:val="outset" w:color="auto" w:sz="6" w:space="0"/>
              <w:bottom w:val="outset" w:color="auto" w:sz="6" w:space="0"/>
              <w:right w:val="outset" w:color="auto" w:sz="6" w:space="0"/>
            </w:tcBorders>
            <w:noWrap/>
            <w:vAlign w:val="center"/>
          </w:tcPr>
          <w:p>
            <w:pPr>
              <w:rPr>
                <w:rFonts w:ascii="宋体" w:hAnsi="宋体" w:eastAsia="宋体" w:cs="Times New Roman"/>
                <w:szCs w:val="20"/>
              </w:rPr>
            </w:pPr>
            <w:r>
              <w:rPr>
                <w:rFonts w:hint="eastAsia" w:ascii="宋体" w:hAnsi="Times New Roman" w:eastAsia="宋体" w:cs="宋体"/>
                <w:color w:val="000000"/>
                <w:szCs w:val="21"/>
              </w:rPr>
              <w:t>投标人名称与营业执照一致；不一致的，须有有效证明材料；</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793" w:type="dxa"/>
            <w:vMerge w:val="continue"/>
            <w:tcBorders>
              <w:top w:val="outset" w:color="auto" w:sz="6" w:space="0"/>
              <w:left w:val="outset" w:color="auto" w:sz="6" w:space="0"/>
              <w:bottom w:val="outset" w:color="auto" w:sz="6" w:space="0"/>
              <w:right w:val="outset" w:color="auto" w:sz="6" w:space="0"/>
            </w:tcBorders>
            <w:noWrap/>
            <w:vAlign w:val="center"/>
          </w:tcPr>
          <w:p>
            <w:pPr>
              <w:jc w:val="left"/>
              <w:rPr>
                <w:rFonts w:ascii="宋体" w:hAnsi="宋体" w:eastAsia="宋体" w:cs="Times New Roman"/>
                <w:szCs w:val="20"/>
              </w:rPr>
            </w:pPr>
          </w:p>
        </w:tc>
        <w:tc>
          <w:tcPr>
            <w:tcW w:w="2213" w:type="dxa"/>
            <w:gridSpan w:val="2"/>
            <w:vMerge w:val="continue"/>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eastAsia="宋体" w:cs="Times New Roman"/>
                <w:szCs w:val="20"/>
              </w:rPr>
            </w:pPr>
          </w:p>
        </w:tc>
        <w:tc>
          <w:tcPr>
            <w:tcW w:w="2664" w:type="dxa"/>
            <w:gridSpan w:val="2"/>
            <w:tcBorders>
              <w:top w:val="outset" w:color="auto" w:sz="6" w:space="0"/>
              <w:left w:val="outset" w:color="auto" w:sz="6" w:space="0"/>
              <w:bottom w:val="outset" w:color="auto" w:sz="6" w:space="0"/>
              <w:right w:val="outset" w:color="auto" w:sz="6" w:space="0"/>
            </w:tcBorders>
            <w:noWrap/>
            <w:vAlign w:val="center"/>
          </w:tcPr>
          <w:p>
            <w:pPr>
              <w:spacing w:line="276" w:lineRule="auto"/>
              <w:rPr>
                <w:rFonts w:ascii="宋体" w:hAnsi="Times New Roman" w:eastAsia="宋体" w:cs="宋体"/>
                <w:color w:val="000000"/>
                <w:szCs w:val="21"/>
              </w:rPr>
            </w:pPr>
            <w:r>
              <w:rPr>
                <w:rFonts w:hint="eastAsia" w:ascii="宋体" w:hAnsi="Times New Roman" w:eastAsia="宋体" w:cs="宋体"/>
                <w:color w:val="000000"/>
                <w:szCs w:val="21"/>
              </w:rPr>
              <w:t>投标文件签字盖章</w:t>
            </w:r>
          </w:p>
        </w:tc>
        <w:tc>
          <w:tcPr>
            <w:tcW w:w="4095" w:type="dxa"/>
            <w:tcBorders>
              <w:top w:val="outset" w:color="auto" w:sz="6" w:space="0"/>
              <w:left w:val="outset" w:color="auto" w:sz="6" w:space="0"/>
              <w:bottom w:val="outset" w:color="auto" w:sz="6" w:space="0"/>
              <w:right w:val="outset" w:color="auto" w:sz="6" w:space="0"/>
            </w:tcBorders>
            <w:noWrap/>
            <w:vAlign w:val="center"/>
          </w:tcPr>
          <w:p>
            <w:pPr>
              <w:spacing w:line="276" w:lineRule="auto"/>
              <w:rPr>
                <w:rFonts w:ascii="宋体" w:hAnsi="Times New Roman" w:eastAsia="宋体" w:cs="宋体"/>
                <w:color w:val="000000"/>
                <w:szCs w:val="21"/>
              </w:rPr>
            </w:pPr>
            <w:r>
              <w:rPr>
                <w:rFonts w:hint="eastAsia" w:ascii="宋体" w:hAnsi="Times New Roman" w:eastAsia="宋体" w:cs="宋体"/>
                <w:color w:val="000000"/>
                <w:szCs w:val="21"/>
              </w:rPr>
              <w:t>加盖投标人公章和企业法定代表人（或企业法定代表人委托代理人）印章（或签字）。如投标函加盖企业法定代表人委托代理人印章（或签字）的，委托代理人有合法、有效的委托书。</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20" w:hRule="atLeast"/>
        </w:trPr>
        <w:tc>
          <w:tcPr>
            <w:tcW w:w="793" w:type="dxa"/>
            <w:vMerge w:val="continue"/>
            <w:tcBorders>
              <w:top w:val="outset" w:color="auto" w:sz="6" w:space="0"/>
              <w:left w:val="outset" w:color="auto" w:sz="6" w:space="0"/>
              <w:bottom w:val="outset" w:color="auto" w:sz="6" w:space="0"/>
              <w:right w:val="outset" w:color="auto" w:sz="6" w:space="0"/>
            </w:tcBorders>
            <w:noWrap/>
            <w:vAlign w:val="center"/>
          </w:tcPr>
          <w:p>
            <w:pPr>
              <w:jc w:val="left"/>
              <w:rPr>
                <w:rFonts w:ascii="宋体" w:hAnsi="宋体" w:eastAsia="宋体" w:cs="Times New Roman"/>
                <w:szCs w:val="20"/>
              </w:rPr>
            </w:pPr>
          </w:p>
        </w:tc>
        <w:tc>
          <w:tcPr>
            <w:tcW w:w="2213" w:type="dxa"/>
            <w:gridSpan w:val="2"/>
            <w:vMerge w:val="continue"/>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eastAsia="宋体" w:cs="Times New Roman"/>
                <w:szCs w:val="20"/>
              </w:rPr>
            </w:pPr>
          </w:p>
        </w:tc>
        <w:tc>
          <w:tcPr>
            <w:tcW w:w="2664" w:type="dxa"/>
            <w:gridSpan w:val="2"/>
            <w:tcBorders>
              <w:top w:val="outset" w:color="auto" w:sz="6" w:space="0"/>
              <w:left w:val="outset" w:color="auto" w:sz="6" w:space="0"/>
              <w:bottom w:val="outset" w:color="auto" w:sz="6" w:space="0"/>
              <w:right w:val="outset" w:color="auto" w:sz="6" w:space="0"/>
            </w:tcBorders>
            <w:noWrap/>
            <w:vAlign w:val="center"/>
          </w:tcPr>
          <w:p>
            <w:pPr>
              <w:rPr>
                <w:rFonts w:ascii="宋体" w:hAnsi="宋体" w:eastAsia="宋体" w:cs="Times New Roman"/>
                <w:szCs w:val="20"/>
              </w:rPr>
            </w:pPr>
            <w:r>
              <w:rPr>
                <w:rFonts w:ascii="宋体" w:hAnsi="宋体" w:eastAsia="宋体" w:cs="Times New Roman"/>
                <w:szCs w:val="20"/>
              </w:rPr>
              <w:t>报价唯一</w:t>
            </w:r>
          </w:p>
        </w:tc>
        <w:tc>
          <w:tcPr>
            <w:tcW w:w="4095" w:type="dxa"/>
            <w:tcBorders>
              <w:top w:val="outset" w:color="auto" w:sz="6" w:space="0"/>
              <w:left w:val="outset" w:color="auto" w:sz="6" w:space="0"/>
              <w:bottom w:val="outset" w:color="auto" w:sz="6" w:space="0"/>
              <w:right w:val="outset" w:color="auto" w:sz="6" w:space="0"/>
            </w:tcBorders>
            <w:noWrap/>
            <w:vAlign w:val="center"/>
          </w:tcPr>
          <w:p>
            <w:pPr>
              <w:rPr>
                <w:rFonts w:ascii="宋体" w:hAnsi="宋体" w:eastAsia="宋体" w:cs="Times New Roman"/>
                <w:szCs w:val="20"/>
              </w:rPr>
            </w:pPr>
            <w:r>
              <w:rPr>
                <w:rFonts w:ascii="宋体" w:hAnsi="宋体" w:eastAsia="宋体" w:cs="Times New Roman"/>
                <w:szCs w:val="20"/>
              </w:rPr>
              <w:t>只能有一个有效报价</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793" w:type="dxa"/>
            <w:vMerge w:val="continue"/>
            <w:tcBorders>
              <w:top w:val="outset" w:color="auto" w:sz="6" w:space="0"/>
              <w:left w:val="outset" w:color="auto" w:sz="6" w:space="0"/>
              <w:bottom w:val="outset" w:color="auto" w:sz="6" w:space="0"/>
              <w:right w:val="outset" w:color="auto" w:sz="6" w:space="0"/>
            </w:tcBorders>
            <w:noWrap/>
            <w:vAlign w:val="center"/>
          </w:tcPr>
          <w:p>
            <w:pPr>
              <w:jc w:val="left"/>
              <w:rPr>
                <w:rFonts w:ascii="宋体" w:hAnsi="宋体" w:eastAsia="宋体" w:cs="Times New Roman"/>
                <w:szCs w:val="20"/>
              </w:rPr>
            </w:pPr>
          </w:p>
        </w:tc>
        <w:tc>
          <w:tcPr>
            <w:tcW w:w="2213" w:type="dxa"/>
            <w:gridSpan w:val="2"/>
            <w:vMerge w:val="continue"/>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eastAsia="宋体" w:cs="Times New Roman"/>
                <w:szCs w:val="20"/>
              </w:rPr>
            </w:pPr>
          </w:p>
        </w:tc>
        <w:tc>
          <w:tcPr>
            <w:tcW w:w="2664" w:type="dxa"/>
            <w:gridSpan w:val="2"/>
            <w:tcBorders>
              <w:top w:val="outset" w:color="auto" w:sz="6" w:space="0"/>
              <w:left w:val="outset" w:color="auto" w:sz="6" w:space="0"/>
              <w:bottom w:val="outset" w:color="auto" w:sz="6" w:space="0"/>
              <w:right w:val="outset" w:color="auto" w:sz="6" w:space="0"/>
            </w:tcBorders>
            <w:noWrap/>
            <w:vAlign w:val="center"/>
          </w:tcPr>
          <w:p>
            <w:pPr>
              <w:spacing w:line="440" w:lineRule="exact"/>
              <w:textAlignment w:val="center"/>
              <w:rPr>
                <w:rFonts w:ascii="宋体" w:hAnsi="宋体" w:eastAsia="宋体" w:cs="Times New Roman"/>
                <w:color w:val="000000"/>
                <w:szCs w:val="21"/>
              </w:rPr>
            </w:pPr>
            <w:bookmarkStart w:id="216" w:name="EB547e8b8a2cf1444db2294cf5f37d3b2c"/>
            <w:r>
              <w:rPr>
                <w:rFonts w:hint="eastAsia" w:ascii="宋体" w:hAnsi="宋体" w:eastAsia="宋体" w:cs="Times New Roman"/>
                <w:color w:val="0000FF"/>
                <w:szCs w:val="21"/>
              </w:rPr>
              <w:t>/</w:t>
            </w:r>
            <w:bookmarkEnd w:id="216"/>
          </w:p>
        </w:tc>
        <w:tc>
          <w:tcPr>
            <w:tcW w:w="4095" w:type="dxa"/>
            <w:tcBorders>
              <w:top w:val="outset" w:color="auto" w:sz="6" w:space="0"/>
              <w:left w:val="outset" w:color="auto" w:sz="6" w:space="0"/>
              <w:bottom w:val="outset" w:color="auto" w:sz="6" w:space="0"/>
              <w:right w:val="outset" w:color="auto" w:sz="6" w:space="0"/>
            </w:tcBorders>
            <w:noWrap/>
            <w:vAlign w:val="center"/>
          </w:tcPr>
          <w:p>
            <w:pPr>
              <w:spacing w:line="440" w:lineRule="exact"/>
              <w:textAlignment w:val="center"/>
              <w:rPr>
                <w:rFonts w:ascii="宋体" w:hAnsi="宋体" w:eastAsia="宋体" w:cs="Times New Roman"/>
                <w:color w:val="000000"/>
                <w:szCs w:val="21"/>
              </w:rPr>
            </w:pPr>
            <w:bookmarkStart w:id="217" w:name="EB55442037c84142659c046f2cd5fc1b3b"/>
            <w:r>
              <w:rPr>
                <w:rFonts w:hint="eastAsia" w:ascii="宋体" w:hAnsi="宋体" w:eastAsia="宋体" w:cs="Times New Roman"/>
                <w:color w:val="0000FF"/>
                <w:szCs w:val="21"/>
              </w:rPr>
              <w:t>/</w:t>
            </w:r>
            <w:bookmarkEnd w:id="217"/>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793" w:type="dxa"/>
            <w:tcBorders>
              <w:top w:val="outset" w:color="auto" w:sz="6" w:space="0"/>
              <w:left w:val="outset" w:color="auto" w:sz="6" w:space="0"/>
              <w:bottom w:val="outset" w:color="auto" w:sz="6" w:space="0"/>
              <w:right w:val="outset" w:color="auto" w:sz="6" w:space="0"/>
            </w:tcBorders>
            <w:noWrap/>
            <w:vAlign w:val="center"/>
          </w:tcPr>
          <w:p>
            <w:pPr>
              <w:jc w:val="left"/>
              <w:rPr>
                <w:rFonts w:ascii="宋体" w:hAnsi="宋体" w:eastAsia="宋体" w:cs="Times New Roman"/>
                <w:szCs w:val="20"/>
              </w:rPr>
            </w:pPr>
            <w:r>
              <w:rPr>
                <w:rFonts w:ascii="宋体" w:hAnsi="宋体" w:eastAsia="宋体" w:cs="Times New Roman"/>
                <w:szCs w:val="20"/>
              </w:rPr>
              <w:t>2.</w:t>
            </w:r>
            <w:r>
              <w:rPr>
                <w:rFonts w:hint="eastAsia" w:ascii="宋体" w:hAnsi="宋体" w:eastAsia="宋体" w:cs="Times New Roman"/>
                <w:szCs w:val="20"/>
              </w:rPr>
              <w:t>2</w:t>
            </w:r>
            <w:r>
              <w:rPr>
                <w:rFonts w:ascii="宋体" w:hAnsi="宋体" w:eastAsia="宋体" w:cs="Times New Roman"/>
                <w:szCs w:val="20"/>
              </w:rPr>
              <w:t>.2</w:t>
            </w:r>
          </w:p>
        </w:tc>
        <w:tc>
          <w:tcPr>
            <w:tcW w:w="2213" w:type="dxa"/>
            <w:gridSpan w:val="2"/>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eastAsia="宋体" w:cs="Times New Roman"/>
                <w:szCs w:val="20"/>
              </w:rPr>
            </w:pPr>
            <w:r>
              <w:rPr>
                <w:rFonts w:ascii="宋体" w:hAnsi="宋体" w:eastAsia="宋体" w:cs="Times New Roman"/>
                <w:szCs w:val="20"/>
              </w:rPr>
              <w:t>资格评审标准</w:t>
            </w:r>
          </w:p>
        </w:tc>
        <w:tc>
          <w:tcPr>
            <w:tcW w:w="2664" w:type="dxa"/>
            <w:gridSpan w:val="2"/>
            <w:tcBorders>
              <w:top w:val="outset" w:color="auto" w:sz="6" w:space="0"/>
              <w:left w:val="outset" w:color="auto" w:sz="6" w:space="0"/>
              <w:bottom w:val="outset" w:color="auto" w:sz="6" w:space="0"/>
              <w:right w:val="outset" w:color="auto" w:sz="6" w:space="0"/>
            </w:tcBorders>
            <w:noWrap/>
            <w:vAlign w:val="center"/>
          </w:tcPr>
          <w:p>
            <w:pPr>
              <w:spacing w:line="276" w:lineRule="auto"/>
              <w:rPr>
                <w:rFonts w:ascii="宋体" w:hAnsi="Times New Roman" w:eastAsia="宋体" w:cs="宋体"/>
                <w:color w:val="000000"/>
                <w:szCs w:val="21"/>
              </w:rPr>
            </w:pPr>
            <w:r>
              <w:rPr>
                <w:rFonts w:hint="eastAsia" w:ascii="宋体" w:hAnsi="Times New Roman" w:eastAsia="宋体" w:cs="宋体"/>
                <w:color w:val="000000"/>
                <w:szCs w:val="21"/>
              </w:rPr>
              <w:t>资格审查</w:t>
            </w:r>
          </w:p>
        </w:tc>
        <w:tc>
          <w:tcPr>
            <w:tcW w:w="4095" w:type="dxa"/>
            <w:tcBorders>
              <w:top w:val="outset" w:color="auto" w:sz="6" w:space="0"/>
              <w:left w:val="outset" w:color="auto" w:sz="6" w:space="0"/>
              <w:bottom w:val="outset" w:color="auto" w:sz="6" w:space="0"/>
              <w:right w:val="outset" w:color="auto" w:sz="6" w:space="0"/>
            </w:tcBorders>
            <w:noWrap/>
            <w:vAlign w:val="center"/>
          </w:tcPr>
          <w:p>
            <w:pPr>
              <w:spacing w:line="276" w:lineRule="auto"/>
              <w:rPr>
                <w:rFonts w:ascii="宋体" w:hAnsi="Times New Roman" w:eastAsia="宋体" w:cs="宋体"/>
                <w:color w:val="000000"/>
                <w:szCs w:val="21"/>
              </w:rPr>
            </w:pPr>
            <w:r>
              <w:rPr>
                <w:rFonts w:hint="eastAsia" w:ascii="宋体" w:hAnsi="Times New Roman" w:eastAsia="宋体" w:cs="宋体"/>
                <w:color w:val="000000"/>
                <w:szCs w:val="21"/>
              </w:rPr>
              <w:t>符合招标文件第二章3.5项资格审查要求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793" w:type="dxa"/>
            <w:vMerge w:val="restart"/>
            <w:tcBorders>
              <w:top w:val="outset" w:color="auto" w:sz="6" w:space="0"/>
              <w:left w:val="outset" w:color="auto" w:sz="6" w:space="0"/>
              <w:right w:val="outset" w:color="auto" w:sz="6" w:space="0"/>
            </w:tcBorders>
            <w:noWrap/>
            <w:vAlign w:val="center"/>
          </w:tcPr>
          <w:p>
            <w:pPr>
              <w:jc w:val="left"/>
              <w:rPr>
                <w:rFonts w:ascii="宋体" w:hAnsi="宋体" w:eastAsia="宋体" w:cs="Times New Roman"/>
                <w:szCs w:val="20"/>
              </w:rPr>
            </w:pPr>
            <w:r>
              <w:rPr>
                <w:rFonts w:ascii="宋体" w:hAnsi="宋体" w:eastAsia="宋体" w:cs="Times New Roman"/>
                <w:szCs w:val="20"/>
              </w:rPr>
              <w:t>2.</w:t>
            </w:r>
            <w:r>
              <w:rPr>
                <w:rFonts w:hint="eastAsia" w:ascii="宋体" w:hAnsi="宋体" w:eastAsia="宋体" w:cs="Times New Roman"/>
                <w:szCs w:val="20"/>
              </w:rPr>
              <w:t>2</w:t>
            </w:r>
            <w:r>
              <w:rPr>
                <w:rFonts w:ascii="宋体" w:hAnsi="宋体" w:eastAsia="宋体" w:cs="Times New Roman"/>
                <w:szCs w:val="20"/>
              </w:rPr>
              <w:t>.3</w:t>
            </w:r>
          </w:p>
        </w:tc>
        <w:tc>
          <w:tcPr>
            <w:tcW w:w="2213" w:type="dxa"/>
            <w:gridSpan w:val="2"/>
            <w:vMerge w:val="restart"/>
            <w:tcBorders>
              <w:top w:val="outset" w:color="auto" w:sz="6" w:space="0"/>
              <w:left w:val="outset" w:color="auto" w:sz="6" w:space="0"/>
              <w:right w:val="outset" w:color="auto" w:sz="6" w:space="0"/>
            </w:tcBorders>
            <w:noWrap/>
            <w:vAlign w:val="center"/>
          </w:tcPr>
          <w:p>
            <w:pPr>
              <w:spacing w:line="276" w:lineRule="auto"/>
              <w:jc w:val="center"/>
              <w:rPr>
                <w:rFonts w:ascii="宋体" w:hAnsi="Times New Roman" w:eastAsia="宋体" w:cs="宋体"/>
                <w:color w:val="000000"/>
                <w:szCs w:val="21"/>
              </w:rPr>
            </w:pPr>
            <w:r>
              <w:rPr>
                <w:rFonts w:hint="eastAsia" w:ascii="宋体" w:hAnsi="Times New Roman" w:eastAsia="宋体" w:cs="宋体"/>
                <w:color w:val="000000"/>
                <w:szCs w:val="21"/>
              </w:rPr>
              <w:t>响应性评审标准</w:t>
            </w:r>
          </w:p>
          <w:p>
            <w:pPr>
              <w:spacing w:line="276" w:lineRule="auto"/>
              <w:jc w:val="center"/>
              <w:rPr>
                <w:rFonts w:ascii="宋体" w:hAnsi="Times New Roman" w:eastAsia="宋体" w:cs="宋体"/>
                <w:color w:val="000000"/>
                <w:szCs w:val="21"/>
              </w:rPr>
            </w:pPr>
          </w:p>
        </w:tc>
        <w:tc>
          <w:tcPr>
            <w:tcW w:w="2664" w:type="dxa"/>
            <w:gridSpan w:val="2"/>
            <w:tcBorders>
              <w:top w:val="outset" w:color="auto" w:sz="6" w:space="0"/>
              <w:left w:val="outset" w:color="auto" w:sz="6" w:space="0"/>
              <w:bottom w:val="outset" w:color="auto" w:sz="6" w:space="0"/>
              <w:right w:val="outset" w:color="auto" w:sz="6" w:space="0"/>
            </w:tcBorders>
            <w:noWrap/>
          </w:tcPr>
          <w:p>
            <w:pPr>
              <w:spacing w:line="276" w:lineRule="auto"/>
              <w:rPr>
                <w:rFonts w:ascii="宋体" w:hAnsi="Times New Roman" w:eastAsia="宋体" w:cs="宋体"/>
                <w:color w:val="000000"/>
                <w:szCs w:val="21"/>
              </w:rPr>
            </w:pPr>
            <w:r>
              <w:rPr>
                <w:rFonts w:hint="eastAsia" w:ascii="宋体" w:hAnsi="Times New Roman" w:eastAsia="宋体" w:cs="宋体"/>
                <w:color w:val="000000"/>
                <w:szCs w:val="21"/>
              </w:rPr>
              <w:t>投标内容</w:t>
            </w:r>
          </w:p>
        </w:tc>
        <w:tc>
          <w:tcPr>
            <w:tcW w:w="4095" w:type="dxa"/>
            <w:tcBorders>
              <w:top w:val="outset" w:color="auto" w:sz="6" w:space="0"/>
              <w:left w:val="outset" w:color="auto" w:sz="6" w:space="0"/>
              <w:bottom w:val="outset" w:color="auto" w:sz="6" w:space="0"/>
              <w:right w:val="outset" w:color="auto" w:sz="6" w:space="0"/>
            </w:tcBorders>
            <w:noWrap/>
            <w:vAlign w:val="center"/>
          </w:tcPr>
          <w:p>
            <w:pPr>
              <w:spacing w:line="276" w:lineRule="auto"/>
              <w:rPr>
                <w:rFonts w:ascii="宋体" w:hAnsi="Times New Roman" w:eastAsia="宋体" w:cs="宋体"/>
                <w:color w:val="000000"/>
                <w:szCs w:val="21"/>
              </w:rPr>
            </w:pPr>
            <w:r>
              <w:rPr>
                <w:rFonts w:hint="eastAsia" w:ascii="宋体" w:hAnsi="Times New Roman" w:eastAsia="宋体" w:cs="宋体"/>
                <w:color w:val="000000"/>
                <w:szCs w:val="21"/>
              </w:rPr>
              <w:t>符合第二章“投标人须知”第1.3.1项规定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793" w:type="dxa"/>
            <w:vMerge w:val="continue"/>
            <w:tcBorders>
              <w:left w:val="outset" w:color="auto" w:sz="6" w:space="0"/>
              <w:right w:val="outset" w:color="auto" w:sz="6" w:space="0"/>
            </w:tcBorders>
            <w:noWrap/>
            <w:vAlign w:val="center"/>
          </w:tcPr>
          <w:p>
            <w:pPr>
              <w:jc w:val="left"/>
              <w:rPr>
                <w:rFonts w:ascii="宋体" w:hAnsi="宋体" w:eastAsia="宋体" w:cs="Times New Roman"/>
                <w:szCs w:val="20"/>
              </w:rPr>
            </w:pPr>
          </w:p>
        </w:tc>
        <w:tc>
          <w:tcPr>
            <w:tcW w:w="2213" w:type="dxa"/>
            <w:gridSpan w:val="2"/>
            <w:vMerge w:val="continue"/>
            <w:tcBorders>
              <w:left w:val="outset" w:color="auto" w:sz="6" w:space="0"/>
              <w:right w:val="outset" w:color="auto" w:sz="6" w:space="0"/>
            </w:tcBorders>
            <w:noWrap/>
            <w:vAlign w:val="center"/>
          </w:tcPr>
          <w:p>
            <w:pPr>
              <w:jc w:val="left"/>
              <w:rPr>
                <w:rFonts w:ascii="宋体" w:hAnsi="宋体" w:eastAsia="宋体" w:cs="Times New Roman"/>
                <w:szCs w:val="20"/>
              </w:rPr>
            </w:pPr>
          </w:p>
        </w:tc>
        <w:tc>
          <w:tcPr>
            <w:tcW w:w="2664" w:type="dxa"/>
            <w:gridSpan w:val="2"/>
            <w:tcBorders>
              <w:top w:val="outset" w:color="auto" w:sz="6" w:space="0"/>
              <w:left w:val="outset" w:color="auto" w:sz="6" w:space="0"/>
              <w:bottom w:val="outset" w:color="auto" w:sz="6" w:space="0"/>
              <w:right w:val="outset" w:color="auto" w:sz="6" w:space="0"/>
            </w:tcBorders>
            <w:noWrap/>
            <w:vAlign w:val="center"/>
          </w:tcPr>
          <w:p>
            <w:pPr>
              <w:rPr>
                <w:rFonts w:ascii="宋体" w:hAnsi="宋体" w:eastAsia="宋体" w:cs="Times New Roman"/>
                <w:szCs w:val="20"/>
              </w:rPr>
            </w:pPr>
            <w:r>
              <w:rPr>
                <w:rFonts w:hint="eastAsia" w:ascii="宋体" w:hAnsi="Times New Roman" w:eastAsia="宋体" w:cs="宋体"/>
                <w:color w:val="000000"/>
                <w:szCs w:val="21"/>
              </w:rPr>
              <w:t>供货期</w:t>
            </w:r>
          </w:p>
        </w:tc>
        <w:tc>
          <w:tcPr>
            <w:tcW w:w="4095" w:type="dxa"/>
            <w:tcBorders>
              <w:top w:val="outset" w:color="auto" w:sz="6" w:space="0"/>
              <w:left w:val="outset" w:color="auto" w:sz="6" w:space="0"/>
              <w:bottom w:val="outset" w:color="auto" w:sz="6" w:space="0"/>
              <w:right w:val="outset" w:color="auto" w:sz="6" w:space="0"/>
            </w:tcBorders>
            <w:noWrap/>
            <w:vAlign w:val="center"/>
          </w:tcPr>
          <w:p>
            <w:pPr>
              <w:rPr>
                <w:rFonts w:ascii="宋体" w:hAnsi="宋体" w:eastAsia="宋体" w:cs="Times New Roman"/>
                <w:szCs w:val="20"/>
              </w:rPr>
            </w:pPr>
            <w:r>
              <w:rPr>
                <w:rFonts w:hint="eastAsia" w:ascii="宋体" w:hAnsi="Times New Roman" w:eastAsia="宋体" w:cs="宋体"/>
                <w:color w:val="000000"/>
                <w:szCs w:val="21"/>
              </w:rPr>
              <w:t>符合第二章“投标人须知”第1.3.2 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793" w:type="dxa"/>
            <w:vMerge w:val="continue"/>
            <w:tcBorders>
              <w:left w:val="outset" w:color="auto" w:sz="6" w:space="0"/>
              <w:right w:val="outset" w:color="auto" w:sz="6" w:space="0"/>
            </w:tcBorders>
            <w:noWrap/>
            <w:vAlign w:val="center"/>
          </w:tcPr>
          <w:p>
            <w:pPr>
              <w:jc w:val="left"/>
              <w:rPr>
                <w:rFonts w:ascii="宋体" w:hAnsi="宋体" w:eastAsia="宋体" w:cs="Times New Roman"/>
                <w:szCs w:val="20"/>
              </w:rPr>
            </w:pPr>
          </w:p>
        </w:tc>
        <w:tc>
          <w:tcPr>
            <w:tcW w:w="2213" w:type="dxa"/>
            <w:gridSpan w:val="2"/>
            <w:vMerge w:val="continue"/>
            <w:tcBorders>
              <w:left w:val="outset" w:color="auto" w:sz="6" w:space="0"/>
              <w:right w:val="outset" w:color="auto" w:sz="6" w:space="0"/>
            </w:tcBorders>
            <w:noWrap/>
            <w:vAlign w:val="center"/>
          </w:tcPr>
          <w:p>
            <w:pPr>
              <w:jc w:val="left"/>
              <w:rPr>
                <w:rFonts w:ascii="宋体" w:hAnsi="宋体" w:eastAsia="宋体" w:cs="Times New Roman"/>
                <w:szCs w:val="20"/>
              </w:rPr>
            </w:pPr>
          </w:p>
        </w:tc>
        <w:tc>
          <w:tcPr>
            <w:tcW w:w="2664" w:type="dxa"/>
            <w:gridSpan w:val="2"/>
            <w:tcBorders>
              <w:top w:val="outset" w:color="auto" w:sz="6" w:space="0"/>
              <w:left w:val="outset" w:color="auto" w:sz="6" w:space="0"/>
              <w:bottom w:val="outset" w:color="auto" w:sz="6" w:space="0"/>
              <w:right w:val="outset" w:color="auto" w:sz="6" w:space="0"/>
            </w:tcBorders>
            <w:noWrap/>
            <w:vAlign w:val="center"/>
          </w:tcPr>
          <w:p>
            <w:pPr>
              <w:rPr>
                <w:rFonts w:ascii="宋体" w:hAnsi="宋体" w:eastAsia="宋体" w:cs="Times New Roman"/>
                <w:szCs w:val="20"/>
              </w:rPr>
            </w:pPr>
            <w:r>
              <w:rPr>
                <w:rFonts w:hint="eastAsia" w:ascii="宋体" w:hAnsi="Times New Roman" w:eastAsia="宋体" w:cs="宋体"/>
                <w:color w:val="000000"/>
                <w:szCs w:val="21"/>
              </w:rPr>
              <w:t>质量要求</w:t>
            </w:r>
          </w:p>
        </w:tc>
        <w:tc>
          <w:tcPr>
            <w:tcW w:w="4095" w:type="dxa"/>
            <w:tcBorders>
              <w:top w:val="outset" w:color="auto" w:sz="6" w:space="0"/>
              <w:left w:val="outset" w:color="auto" w:sz="6" w:space="0"/>
              <w:bottom w:val="outset" w:color="auto" w:sz="6" w:space="0"/>
              <w:right w:val="outset" w:color="auto" w:sz="6" w:space="0"/>
            </w:tcBorders>
            <w:noWrap/>
            <w:vAlign w:val="center"/>
          </w:tcPr>
          <w:p>
            <w:pPr>
              <w:rPr>
                <w:rFonts w:ascii="宋体" w:hAnsi="宋体" w:eastAsia="宋体" w:cs="Times New Roman"/>
                <w:szCs w:val="20"/>
              </w:rPr>
            </w:pPr>
            <w:r>
              <w:rPr>
                <w:rFonts w:hint="eastAsia" w:ascii="宋体" w:hAnsi="Times New Roman" w:eastAsia="宋体" w:cs="宋体"/>
                <w:color w:val="000000"/>
                <w:szCs w:val="21"/>
              </w:rPr>
              <w:t>符合第二章“投标人须知”第1.3.4 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PrEx>
        <w:tc>
          <w:tcPr>
            <w:tcW w:w="793" w:type="dxa"/>
            <w:vMerge w:val="continue"/>
            <w:tcBorders>
              <w:left w:val="outset" w:color="auto" w:sz="6" w:space="0"/>
              <w:right w:val="outset" w:color="auto" w:sz="6" w:space="0"/>
            </w:tcBorders>
            <w:noWrap/>
            <w:vAlign w:val="center"/>
          </w:tcPr>
          <w:p>
            <w:pPr>
              <w:jc w:val="left"/>
              <w:rPr>
                <w:rFonts w:ascii="宋体" w:hAnsi="宋体" w:eastAsia="宋体" w:cs="Times New Roman"/>
                <w:szCs w:val="20"/>
              </w:rPr>
            </w:pPr>
          </w:p>
        </w:tc>
        <w:tc>
          <w:tcPr>
            <w:tcW w:w="2213" w:type="dxa"/>
            <w:gridSpan w:val="2"/>
            <w:vMerge w:val="continue"/>
            <w:tcBorders>
              <w:left w:val="outset" w:color="auto" w:sz="6" w:space="0"/>
              <w:right w:val="outset" w:color="auto" w:sz="6" w:space="0"/>
            </w:tcBorders>
            <w:noWrap/>
            <w:vAlign w:val="center"/>
          </w:tcPr>
          <w:p>
            <w:pPr>
              <w:jc w:val="left"/>
              <w:rPr>
                <w:rFonts w:ascii="宋体" w:hAnsi="宋体" w:eastAsia="宋体" w:cs="Times New Roman"/>
                <w:szCs w:val="20"/>
              </w:rPr>
            </w:pPr>
          </w:p>
        </w:tc>
        <w:tc>
          <w:tcPr>
            <w:tcW w:w="2664" w:type="dxa"/>
            <w:gridSpan w:val="2"/>
            <w:tcBorders>
              <w:top w:val="outset" w:color="auto" w:sz="6" w:space="0"/>
              <w:left w:val="outset" w:color="auto" w:sz="6" w:space="0"/>
              <w:bottom w:val="outset" w:color="auto" w:sz="6" w:space="0"/>
              <w:right w:val="outset" w:color="auto" w:sz="6" w:space="0"/>
            </w:tcBorders>
            <w:noWrap/>
            <w:vAlign w:val="center"/>
          </w:tcPr>
          <w:p>
            <w:pPr>
              <w:rPr>
                <w:rFonts w:ascii="宋体" w:hAnsi="宋体" w:eastAsia="宋体" w:cs="Times New Roman"/>
                <w:szCs w:val="20"/>
              </w:rPr>
            </w:pPr>
            <w:r>
              <w:rPr>
                <w:rFonts w:hint="eastAsia" w:ascii="宋体" w:hAnsi="Times New Roman" w:eastAsia="宋体" w:cs="宋体"/>
                <w:color w:val="000000"/>
                <w:szCs w:val="21"/>
              </w:rPr>
              <w:t>投标保证金</w:t>
            </w:r>
          </w:p>
        </w:tc>
        <w:tc>
          <w:tcPr>
            <w:tcW w:w="4095" w:type="dxa"/>
            <w:tcBorders>
              <w:top w:val="outset" w:color="auto" w:sz="6" w:space="0"/>
              <w:left w:val="outset" w:color="auto" w:sz="6" w:space="0"/>
              <w:bottom w:val="outset" w:color="auto" w:sz="6" w:space="0"/>
              <w:right w:val="outset" w:color="auto" w:sz="6" w:space="0"/>
            </w:tcBorders>
            <w:noWrap/>
            <w:vAlign w:val="center"/>
          </w:tcPr>
          <w:p>
            <w:pPr>
              <w:rPr>
                <w:rFonts w:ascii="宋体" w:hAnsi="宋体" w:eastAsia="宋体" w:cs="Times New Roman"/>
                <w:szCs w:val="20"/>
              </w:rPr>
            </w:pPr>
            <w:r>
              <w:rPr>
                <w:rFonts w:hint="eastAsia" w:ascii="宋体" w:hAnsi="Times New Roman" w:eastAsia="宋体" w:cs="宋体"/>
                <w:color w:val="000000"/>
                <w:szCs w:val="21"/>
              </w:rPr>
              <w:t>符合第二章“投标人须知”第3.4.1 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793" w:type="dxa"/>
            <w:vMerge w:val="continue"/>
            <w:tcBorders>
              <w:left w:val="outset" w:color="auto" w:sz="6" w:space="0"/>
              <w:right w:val="outset" w:color="auto" w:sz="6" w:space="0"/>
            </w:tcBorders>
            <w:noWrap/>
            <w:vAlign w:val="center"/>
          </w:tcPr>
          <w:p>
            <w:pPr>
              <w:jc w:val="left"/>
              <w:rPr>
                <w:rFonts w:ascii="宋体" w:hAnsi="宋体" w:eastAsia="宋体" w:cs="Times New Roman"/>
                <w:szCs w:val="20"/>
              </w:rPr>
            </w:pPr>
          </w:p>
        </w:tc>
        <w:tc>
          <w:tcPr>
            <w:tcW w:w="2213" w:type="dxa"/>
            <w:gridSpan w:val="2"/>
            <w:vMerge w:val="continue"/>
            <w:tcBorders>
              <w:left w:val="outset" w:color="auto" w:sz="6" w:space="0"/>
              <w:right w:val="outset" w:color="auto" w:sz="6" w:space="0"/>
            </w:tcBorders>
            <w:noWrap/>
          </w:tcPr>
          <w:p>
            <w:pPr>
              <w:jc w:val="left"/>
              <w:rPr>
                <w:rFonts w:ascii="宋体" w:hAnsi="宋体" w:eastAsia="宋体" w:cs="Times New Roman"/>
                <w:szCs w:val="20"/>
              </w:rPr>
            </w:pPr>
          </w:p>
        </w:tc>
        <w:tc>
          <w:tcPr>
            <w:tcW w:w="2664" w:type="dxa"/>
            <w:gridSpan w:val="2"/>
            <w:tcBorders>
              <w:top w:val="outset" w:color="auto" w:sz="6" w:space="0"/>
              <w:left w:val="outset" w:color="auto" w:sz="6" w:space="0"/>
              <w:bottom w:val="outset" w:color="auto" w:sz="6" w:space="0"/>
              <w:right w:val="outset" w:color="auto" w:sz="6" w:space="0"/>
            </w:tcBorders>
            <w:noWrap/>
            <w:vAlign w:val="center"/>
          </w:tcPr>
          <w:p>
            <w:pPr>
              <w:rPr>
                <w:rFonts w:ascii="宋体" w:hAnsi="宋体" w:eastAsia="宋体" w:cs="Times New Roman"/>
                <w:szCs w:val="20"/>
              </w:rPr>
            </w:pPr>
            <w:r>
              <w:rPr>
                <w:rFonts w:hint="eastAsia" w:ascii="宋体" w:hAnsi="Times New Roman" w:eastAsia="宋体" w:cs="宋体"/>
                <w:szCs w:val="21"/>
              </w:rPr>
              <w:t>其他</w:t>
            </w:r>
          </w:p>
        </w:tc>
        <w:tc>
          <w:tcPr>
            <w:tcW w:w="4095" w:type="dxa"/>
            <w:tcBorders>
              <w:top w:val="outset" w:color="auto" w:sz="6" w:space="0"/>
              <w:left w:val="outset" w:color="auto" w:sz="6" w:space="0"/>
              <w:bottom w:val="outset" w:color="auto" w:sz="6" w:space="0"/>
              <w:right w:val="outset" w:color="auto" w:sz="6" w:space="0"/>
            </w:tcBorders>
            <w:noWrap/>
            <w:vAlign w:val="center"/>
          </w:tcPr>
          <w:p>
            <w:pPr>
              <w:rPr>
                <w:rFonts w:ascii="宋体" w:hAnsi="宋体" w:eastAsia="宋体" w:cs="Times New Roman"/>
                <w:szCs w:val="20"/>
              </w:rPr>
            </w:pPr>
            <w:r>
              <w:rPr>
                <w:rFonts w:hint="eastAsia" w:ascii="Times New Roman" w:hAnsi="Times New Roman" w:eastAsia="宋体" w:cs="Times New Roman"/>
                <w:szCs w:val="20"/>
              </w:rPr>
              <w:t>无本章3.2.3所列情形之一</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793" w:type="dxa"/>
            <w:vMerge w:val="continue"/>
            <w:tcBorders>
              <w:left w:val="outset" w:color="auto" w:sz="6" w:space="0"/>
              <w:right w:val="outset" w:color="auto" w:sz="6" w:space="0"/>
            </w:tcBorders>
            <w:noWrap/>
            <w:vAlign w:val="center"/>
          </w:tcPr>
          <w:p>
            <w:pPr>
              <w:jc w:val="left"/>
              <w:rPr>
                <w:rFonts w:ascii="宋体" w:hAnsi="宋体" w:eastAsia="宋体" w:cs="Times New Roman"/>
                <w:szCs w:val="20"/>
              </w:rPr>
            </w:pPr>
          </w:p>
        </w:tc>
        <w:tc>
          <w:tcPr>
            <w:tcW w:w="2213" w:type="dxa"/>
            <w:gridSpan w:val="2"/>
            <w:vMerge w:val="continue"/>
            <w:tcBorders>
              <w:left w:val="outset" w:color="auto" w:sz="6" w:space="0"/>
              <w:right w:val="outset" w:color="auto" w:sz="6" w:space="0"/>
            </w:tcBorders>
            <w:noWrap/>
            <w:vAlign w:val="center"/>
          </w:tcPr>
          <w:p>
            <w:pPr>
              <w:jc w:val="left"/>
              <w:rPr>
                <w:rFonts w:ascii="宋体" w:hAnsi="宋体" w:eastAsia="宋体" w:cs="Times New Roman"/>
                <w:szCs w:val="20"/>
              </w:rPr>
            </w:pPr>
          </w:p>
        </w:tc>
        <w:tc>
          <w:tcPr>
            <w:tcW w:w="2664" w:type="dxa"/>
            <w:gridSpan w:val="2"/>
            <w:tcBorders>
              <w:top w:val="outset" w:color="auto" w:sz="6" w:space="0"/>
              <w:left w:val="outset" w:color="auto" w:sz="6" w:space="0"/>
              <w:bottom w:val="outset" w:color="auto" w:sz="6" w:space="0"/>
              <w:right w:val="outset" w:color="auto" w:sz="6" w:space="0"/>
            </w:tcBorders>
            <w:noWrap/>
          </w:tcPr>
          <w:p>
            <w:pPr>
              <w:rPr>
                <w:rFonts w:ascii="宋体" w:hAnsi="宋体" w:eastAsia="宋体" w:cs="Times New Roman"/>
                <w:szCs w:val="20"/>
              </w:rPr>
            </w:pPr>
            <w:r>
              <w:rPr>
                <w:rFonts w:hint="eastAsia" w:ascii="宋体" w:hAnsi="Times New Roman" w:eastAsia="宋体" w:cs="宋体"/>
                <w:color w:val="000000"/>
                <w:szCs w:val="21"/>
              </w:rPr>
              <w:t>投标内容</w:t>
            </w:r>
          </w:p>
        </w:tc>
        <w:tc>
          <w:tcPr>
            <w:tcW w:w="4095" w:type="dxa"/>
            <w:tcBorders>
              <w:top w:val="outset" w:color="auto" w:sz="6" w:space="0"/>
              <w:left w:val="outset" w:color="auto" w:sz="6" w:space="0"/>
              <w:bottom w:val="outset" w:color="auto" w:sz="6" w:space="0"/>
              <w:right w:val="outset" w:color="auto" w:sz="6" w:space="0"/>
            </w:tcBorders>
            <w:noWrap/>
            <w:vAlign w:val="center"/>
          </w:tcPr>
          <w:p>
            <w:pPr>
              <w:rPr>
                <w:rFonts w:ascii="宋体" w:hAnsi="宋体" w:eastAsia="宋体" w:cs="Times New Roman"/>
                <w:szCs w:val="20"/>
              </w:rPr>
            </w:pPr>
            <w:r>
              <w:rPr>
                <w:rFonts w:hint="eastAsia" w:ascii="宋体" w:hAnsi="Times New Roman" w:eastAsia="宋体" w:cs="宋体"/>
                <w:color w:val="000000"/>
                <w:szCs w:val="21"/>
              </w:rPr>
              <w:t>符合第二章“投标人须知”第1.3.1项规定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68" w:hRule="atLeast"/>
        </w:trPr>
        <w:tc>
          <w:tcPr>
            <w:tcW w:w="9765" w:type="dxa"/>
            <w:gridSpan w:val="6"/>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eastAsia="宋体" w:cs="Times New Roman"/>
                <w:szCs w:val="20"/>
              </w:rPr>
            </w:pPr>
            <w:r>
              <w:rPr>
                <w:rFonts w:hint="eastAsia" w:ascii="宋体" w:hAnsi="宋体" w:eastAsia="宋体" w:cs="Times New Roman"/>
                <w:szCs w:val="20"/>
              </w:rPr>
              <w:t>详细评审</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02" w:hRule="atLeast"/>
        </w:trPr>
        <w:tc>
          <w:tcPr>
            <w:tcW w:w="2670" w:type="dxa"/>
            <w:gridSpan w:val="2"/>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eastAsia="宋体" w:cs="Times New Roman"/>
                <w:szCs w:val="20"/>
              </w:rPr>
            </w:pPr>
            <w:r>
              <w:rPr>
                <w:rFonts w:ascii="宋体" w:hAnsi="宋体" w:eastAsia="宋体" w:cs="Times New Roman"/>
                <w:szCs w:val="20"/>
              </w:rPr>
              <w:t>条款号</w:t>
            </w:r>
          </w:p>
        </w:tc>
        <w:tc>
          <w:tcPr>
            <w:tcW w:w="7095" w:type="dxa"/>
            <w:gridSpan w:val="4"/>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eastAsia="宋体" w:cs="Times New Roman"/>
                <w:szCs w:val="20"/>
              </w:rPr>
            </w:pPr>
            <w:r>
              <w:rPr>
                <w:rFonts w:ascii="宋体" w:hAnsi="宋体" w:eastAsia="宋体" w:cs="Times New Roman"/>
                <w:szCs w:val="20"/>
              </w:rPr>
              <w:t>条款内容</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37" w:hRule="atLeast"/>
        </w:trPr>
        <w:tc>
          <w:tcPr>
            <w:tcW w:w="2670" w:type="dxa"/>
            <w:gridSpan w:val="2"/>
            <w:tcBorders>
              <w:top w:val="outset" w:color="auto" w:sz="6" w:space="0"/>
              <w:left w:val="outset" w:color="auto" w:sz="6" w:space="0"/>
              <w:bottom w:val="outset" w:color="auto" w:sz="6" w:space="0"/>
              <w:right w:val="outset" w:color="auto" w:sz="6" w:space="0"/>
            </w:tcBorders>
            <w:noWrap/>
            <w:vAlign w:val="center"/>
          </w:tcPr>
          <w:p>
            <w:pPr>
              <w:jc w:val="left"/>
              <w:rPr>
                <w:rFonts w:ascii="宋体" w:hAnsi="宋体" w:eastAsia="宋体" w:cs="Times New Roman"/>
                <w:szCs w:val="20"/>
              </w:rPr>
            </w:pPr>
            <w:r>
              <w:rPr>
                <w:rFonts w:ascii="宋体" w:hAnsi="宋体" w:eastAsia="宋体" w:cs="Times New Roman"/>
                <w:szCs w:val="20"/>
              </w:rPr>
              <w:t>2.</w:t>
            </w:r>
            <w:r>
              <w:rPr>
                <w:rFonts w:hint="eastAsia" w:ascii="宋体" w:hAnsi="宋体" w:eastAsia="宋体" w:cs="Times New Roman"/>
                <w:szCs w:val="20"/>
              </w:rPr>
              <w:t>3</w:t>
            </w:r>
            <w:r>
              <w:rPr>
                <w:rFonts w:ascii="宋体" w:hAnsi="宋体" w:eastAsia="宋体" w:cs="Times New Roman"/>
                <w:szCs w:val="20"/>
              </w:rPr>
              <w:t>.1</w:t>
            </w:r>
          </w:p>
        </w:tc>
        <w:tc>
          <w:tcPr>
            <w:tcW w:w="1472" w:type="dxa"/>
            <w:gridSpan w:val="2"/>
            <w:tcBorders>
              <w:top w:val="outset" w:color="auto" w:sz="6" w:space="0"/>
              <w:left w:val="outset" w:color="auto" w:sz="6" w:space="0"/>
              <w:right w:val="single" w:color="auto" w:sz="4" w:space="0"/>
            </w:tcBorders>
            <w:noWrap/>
            <w:vAlign w:val="center"/>
          </w:tcPr>
          <w:p>
            <w:pPr>
              <w:jc w:val="center"/>
            </w:pPr>
            <w:r>
              <w:rPr>
                <w:rFonts w:hint="eastAsia"/>
              </w:rPr>
              <w:t>投标报价</w:t>
            </w:r>
          </w:p>
        </w:tc>
        <w:tc>
          <w:tcPr>
            <w:tcW w:w="5623" w:type="dxa"/>
            <w:gridSpan w:val="2"/>
            <w:tcBorders>
              <w:top w:val="outset" w:color="auto" w:sz="6" w:space="0"/>
              <w:left w:val="single" w:color="auto" w:sz="4" w:space="0"/>
              <w:right w:val="outset" w:color="auto" w:sz="6" w:space="0"/>
            </w:tcBorders>
            <w:vAlign w:val="center"/>
          </w:tcPr>
          <w:p>
            <w:pPr>
              <w:rPr>
                <w:rFonts w:ascii="宋体" w:hAnsi="宋体"/>
                <w:color w:val="000000"/>
              </w:rPr>
            </w:pPr>
            <w:bookmarkStart w:id="218" w:name="EB18e262b3ad1d474ab9aa29e9c20d7c19"/>
            <w:r>
              <w:rPr>
                <w:rFonts w:hint="eastAsia"/>
                <w:color w:val="0000FF"/>
              </w:rPr>
              <w:t xml:space="preserve"> </w:t>
            </w:r>
            <w:r>
              <w:rPr>
                <w:rFonts w:ascii="Segoe UI Emoji" w:hAnsi="Segoe UI Emoji" w:cs="Segoe UI Emoji"/>
                <w:color w:val="0000FF"/>
              </w:rPr>
              <w:t>☑</w:t>
            </w:r>
            <w:r>
              <w:rPr>
                <w:rFonts w:hint="eastAsia"/>
                <w:color w:val="0000FF"/>
              </w:rPr>
              <w:t xml:space="preserve"> </w:t>
            </w:r>
            <w:bookmarkEnd w:id="218"/>
            <w:r>
              <w:rPr>
                <w:rFonts w:hint="eastAsia"/>
              </w:rPr>
              <w:t>以投标报价为评审</w:t>
            </w:r>
            <w:r>
              <w:rPr>
                <w:rFonts w:hint="eastAsia" w:ascii="宋体" w:hAnsi="宋体"/>
                <w:color w:val="000000"/>
              </w:rPr>
              <w:t>因素：</w:t>
            </w:r>
            <w:r>
              <w:rPr>
                <w:rFonts w:hint="eastAsia"/>
              </w:rPr>
              <w:t>是指投标文件满足招标文件全部实质性要求，且投标报价最低的投标人为中标候选人的评标办法。</w:t>
            </w:r>
          </w:p>
        </w:tc>
      </w:tr>
    </w:tbl>
    <w:p>
      <w:pPr>
        <w:pStyle w:val="3"/>
        <w:keepNext w:val="0"/>
        <w:keepLines w:val="0"/>
        <w:spacing w:line="400" w:lineRule="exact"/>
        <w:rPr>
          <w:rFonts w:eastAsia="黑体"/>
          <w:b w:val="0"/>
          <w:color w:val="000000"/>
          <w:kern w:val="2"/>
          <w:szCs w:val="32"/>
        </w:rPr>
      </w:pPr>
      <w:r>
        <w:rPr>
          <w:rFonts w:hint="eastAsia" w:ascii="宋体" w:hAnsi="Times New Roman"/>
          <w:color w:val="000000"/>
          <w:szCs w:val="20"/>
        </w:rPr>
        <w:br w:type="page"/>
      </w:r>
      <w:bookmarkEnd w:id="211"/>
      <w:bookmarkEnd w:id="212"/>
      <w:bookmarkEnd w:id="213"/>
      <w:r>
        <w:rPr>
          <w:rFonts w:hint="eastAsia" w:eastAsia="黑体"/>
          <w:b w:val="0"/>
          <w:color w:val="000000"/>
          <w:kern w:val="2"/>
          <w:szCs w:val="32"/>
        </w:rPr>
        <w:t>1. 评标方法</w:t>
      </w:r>
    </w:p>
    <w:p>
      <w:pPr>
        <w:autoSpaceDE w:val="0"/>
        <w:autoSpaceDN w:val="0"/>
        <w:adjustRightInd w:val="0"/>
        <w:spacing w:line="400" w:lineRule="exact"/>
        <w:ind w:firstLine="420" w:firstLineChars="200"/>
        <w:jc w:val="left"/>
        <w:rPr>
          <w:rFonts w:ascii="宋体" w:hAnsi="宋体" w:eastAsia="宋体" w:cs="宋体"/>
          <w:color w:val="000000"/>
          <w:kern w:val="0"/>
          <w:szCs w:val="21"/>
        </w:rPr>
      </w:pPr>
      <w:r>
        <w:rPr>
          <w:rFonts w:hint="eastAsia" w:ascii="Times New Roman" w:hAnsi="Times New Roman" w:eastAsia="宋体" w:cs="Times New Roman"/>
          <w:szCs w:val="21"/>
        </w:rPr>
        <w:t>本次评标采用</w:t>
      </w:r>
      <w:r>
        <w:rPr>
          <w:rFonts w:hint="eastAsia" w:ascii="宋体" w:hAnsi="宋体" w:eastAsia="宋体" w:cs="宋体"/>
          <w:szCs w:val="21"/>
        </w:rPr>
        <w:t>经评审的最低投标价法</w:t>
      </w:r>
      <w:r>
        <w:rPr>
          <w:rFonts w:hint="eastAsia" w:ascii="Times New Roman" w:hAnsi="Times New Roman" w:eastAsia="宋体" w:cs="Times New Roman"/>
          <w:szCs w:val="21"/>
        </w:rPr>
        <w:t>。评标委员会对满足招标文件实质要求的投标文件，按照本章规定的评分标准进行评标，并按报价由低到高顺序推荐中标候选人，投标报价相等的，由招标人自行确定。</w:t>
      </w:r>
    </w:p>
    <w:p>
      <w:pPr>
        <w:spacing w:before="120" w:after="120" w:line="400" w:lineRule="exact"/>
        <w:outlineLvl w:val="1"/>
        <w:rPr>
          <w:rFonts w:ascii="Arial" w:hAnsi="Arial" w:eastAsia="黑体" w:cs="Times New Roman"/>
          <w:bCs/>
          <w:color w:val="000000"/>
          <w:sz w:val="32"/>
          <w:szCs w:val="32"/>
        </w:rPr>
      </w:pPr>
      <w:r>
        <w:rPr>
          <w:rFonts w:hint="eastAsia" w:ascii="Arial" w:hAnsi="Arial" w:eastAsia="黑体" w:cs="Times New Roman"/>
          <w:bCs/>
          <w:color w:val="000000"/>
          <w:sz w:val="32"/>
          <w:szCs w:val="32"/>
        </w:rPr>
        <w:t>2. 评审标准</w:t>
      </w:r>
    </w:p>
    <w:p>
      <w:pPr>
        <w:spacing w:before="20" w:after="20" w:line="400" w:lineRule="exact"/>
        <w:outlineLvl w:val="2"/>
        <w:rPr>
          <w:rFonts w:ascii="Times New Roman" w:hAnsi="Times New Roman" w:eastAsia="黑体" w:cs="Times New Roman"/>
          <w:bCs/>
          <w:color w:val="000000"/>
          <w:kern w:val="0"/>
          <w:sz w:val="24"/>
          <w:szCs w:val="32"/>
        </w:rPr>
      </w:pPr>
      <w:r>
        <w:rPr>
          <w:rFonts w:hint="eastAsia" w:ascii="Times New Roman" w:hAnsi="Times New Roman" w:eastAsia="黑体" w:cs="Times New Roman"/>
          <w:bCs/>
          <w:color w:val="000000"/>
          <w:kern w:val="0"/>
          <w:sz w:val="24"/>
          <w:szCs w:val="32"/>
        </w:rPr>
        <w:t>2.1 初步评审标准</w:t>
      </w:r>
    </w:p>
    <w:p>
      <w:pPr>
        <w:autoSpaceDE w:val="0"/>
        <w:autoSpaceDN w:val="0"/>
        <w:adjustRightInd w:val="0"/>
        <w:spacing w:line="400" w:lineRule="exact"/>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2.1.1 形式评审标准：见评标办法前附表。</w:t>
      </w:r>
    </w:p>
    <w:p>
      <w:pPr>
        <w:autoSpaceDE w:val="0"/>
        <w:autoSpaceDN w:val="0"/>
        <w:adjustRightInd w:val="0"/>
        <w:spacing w:line="400" w:lineRule="exact"/>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2.1.2 资格评审标准：见评标办法前附表。</w:t>
      </w:r>
    </w:p>
    <w:p>
      <w:pPr>
        <w:autoSpaceDE w:val="0"/>
        <w:autoSpaceDN w:val="0"/>
        <w:adjustRightInd w:val="0"/>
        <w:spacing w:line="400" w:lineRule="exact"/>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2.1.3 响应性评审标准：见评标办法前附表。</w:t>
      </w:r>
    </w:p>
    <w:p>
      <w:pPr>
        <w:spacing w:before="20" w:after="20" w:line="400" w:lineRule="exact"/>
        <w:outlineLvl w:val="2"/>
        <w:rPr>
          <w:rFonts w:ascii="Times New Roman" w:hAnsi="Times New Roman" w:eastAsia="黑体" w:cs="Times New Roman"/>
          <w:bCs/>
          <w:color w:val="000000"/>
          <w:kern w:val="0"/>
          <w:sz w:val="24"/>
          <w:szCs w:val="32"/>
        </w:rPr>
      </w:pPr>
      <w:r>
        <w:rPr>
          <w:rFonts w:hint="eastAsia" w:ascii="Times New Roman" w:hAnsi="Times New Roman" w:eastAsia="黑体" w:cs="Times New Roman"/>
          <w:bCs/>
          <w:color w:val="000000"/>
          <w:kern w:val="0"/>
          <w:sz w:val="24"/>
          <w:szCs w:val="32"/>
        </w:rPr>
        <w:t>2.2评分标准</w:t>
      </w:r>
    </w:p>
    <w:p>
      <w:pPr>
        <w:autoSpaceDE w:val="0"/>
        <w:autoSpaceDN w:val="0"/>
        <w:adjustRightInd w:val="0"/>
        <w:spacing w:line="40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2.2.</w:t>
      </w:r>
      <w:r>
        <w:rPr>
          <w:rFonts w:ascii="宋体" w:hAnsi="宋体" w:eastAsia="宋体" w:cs="宋体"/>
          <w:kern w:val="0"/>
          <w:szCs w:val="21"/>
        </w:rPr>
        <w:t>1</w:t>
      </w:r>
      <w:r>
        <w:rPr>
          <w:rFonts w:hint="eastAsia" w:ascii="宋体" w:hAnsi="宋体" w:eastAsia="宋体" w:cs="宋体"/>
          <w:kern w:val="0"/>
          <w:szCs w:val="21"/>
        </w:rPr>
        <w:t xml:space="preserve"> 评分标准：见评标办法前附表。</w:t>
      </w:r>
    </w:p>
    <w:p>
      <w:pPr>
        <w:spacing w:before="120" w:after="120" w:line="400" w:lineRule="exact"/>
        <w:outlineLvl w:val="1"/>
        <w:rPr>
          <w:rFonts w:ascii="Arial" w:hAnsi="Arial" w:eastAsia="黑体" w:cs="Times New Roman"/>
          <w:bCs/>
          <w:color w:val="000000"/>
          <w:sz w:val="32"/>
          <w:szCs w:val="32"/>
        </w:rPr>
      </w:pPr>
      <w:r>
        <w:rPr>
          <w:rFonts w:hint="eastAsia" w:ascii="Arial" w:hAnsi="Arial" w:eastAsia="黑体" w:cs="Times New Roman"/>
          <w:bCs/>
          <w:color w:val="000000"/>
          <w:sz w:val="32"/>
          <w:szCs w:val="32"/>
        </w:rPr>
        <w:t>3. 评标程序</w:t>
      </w:r>
    </w:p>
    <w:p>
      <w:pPr>
        <w:spacing w:before="20" w:after="20" w:line="400" w:lineRule="exact"/>
        <w:outlineLvl w:val="2"/>
        <w:rPr>
          <w:rFonts w:ascii="Times New Roman" w:hAnsi="Times New Roman" w:eastAsia="黑体" w:cs="Times New Roman"/>
          <w:bCs/>
          <w:color w:val="000000"/>
          <w:kern w:val="0"/>
          <w:sz w:val="24"/>
          <w:szCs w:val="32"/>
        </w:rPr>
      </w:pPr>
      <w:r>
        <w:rPr>
          <w:rFonts w:hint="eastAsia" w:ascii="Times New Roman" w:hAnsi="Times New Roman" w:eastAsia="黑体" w:cs="Times New Roman"/>
          <w:bCs/>
          <w:color w:val="000000"/>
          <w:kern w:val="0"/>
          <w:sz w:val="24"/>
          <w:szCs w:val="32"/>
        </w:rPr>
        <w:t>3.1 评标准备</w:t>
      </w:r>
    </w:p>
    <w:p>
      <w:pPr>
        <w:autoSpaceDE w:val="0"/>
        <w:autoSpaceDN w:val="0"/>
        <w:adjustRightInd w:val="0"/>
        <w:spacing w:line="400" w:lineRule="exact"/>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3.1.1 评标委员会成员到达评标现场时应在签到表上签到</w:t>
      </w:r>
      <w:r>
        <w:rPr>
          <w:rFonts w:hint="eastAsia" w:ascii="宋体" w:hAnsi="TimesNewRomanPSMT" w:eastAsia="宋体" w:cs="宋体"/>
          <w:color w:val="000000"/>
          <w:kern w:val="0"/>
          <w:szCs w:val="21"/>
        </w:rPr>
        <w:t>（或通过门禁系统签到）</w:t>
      </w:r>
      <w:r>
        <w:rPr>
          <w:rFonts w:hint="eastAsia" w:ascii="宋体" w:hAnsi="宋体" w:eastAsia="宋体" w:cs="宋体"/>
          <w:color w:val="000000"/>
          <w:kern w:val="0"/>
          <w:szCs w:val="21"/>
        </w:rPr>
        <w:t>以证明其出席。</w:t>
      </w:r>
    </w:p>
    <w:p>
      <w:pPr>
        <w:autoSpaceDE w:val="0"/>
        <w:autoSpaceDN w:val="0"/>
        <w:adjustRightInd w:val="0"/>
        <w:spacing w:line="400" w:lineRule="exact"/>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3.1.2 评标委员会成员首先推选一名评标委员会负责人，负责评标活动的组织领导工作。</w:t>
      </w:r>
    </w:p>
    <w:p>
      <w:pPr>
        <w:autoSpaceDE w:val="0"/>
        <w:autoSpaceDN w:val="0"/>
        <w:adjustRightInd w:val="0"/>
        <w:spacing w:line="400" w:lineRule="exact"/>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3.1.3 招标人或招标代理机构应向评标委员会提供评标所需的信息和数据。评标委员会负责人应组织评标委员会成员认真研究招标文件，未在招标文件中规定的标准和方法不得作为评标的依据。</w:t>
      </w:r>
    </w:p>
    <w:p>
      <w:pPr>
        <w:spacing w:before="20" w:after="20" w:line="400" w:lineRule="exact"/>
        <w:outlineLvl w:val="2"/>
        <w:rPr>
          <w:rFonts w:ascii="Times New Roman" w:hAnsi="Times New Roman" w:eastAsia="黑体" w:cs="Times New Roman"/>
          <w:bCs/>
          <w:color w:val="000000"/>
          <w:kern w:val="0"/>
          <w:sz w:val="24"/>
          <w:szCs w:val="32"/>
        </w:rPr>
      </w:pPr>
      <w:r>
        <w:rPr>
          <w:rFonts w:hint="eastAsia" w:ascii="Times New Roman" w:hAnsi="Times New Roman" w:eastAsia="黑体" w:cs="Times New Roman"/>
          <w:bCs/>
          <w:color w:val="000000"/>
          <w:kern w:val="0"/>
          <w:sz w:val="24"/>
          <w:szCs w:val="32"/>
        </w:rPr>
        <w:t>3.2初步评审</w:t>
      </w:r>
    </w:p>
    <w:p>
      <w:pPr>
        <w:autoSpaceDE w:val="0"/>
        <w:autoSpaceDN w:val="0"/>
        <w:adjustRightInd w:val="0"/>
        <w:spacing w:line="400" w:lineRule="exact"/>
        <w:ind w:firstLine="420" w:firstLineChars="200"/>
        <w:jc w:val="left"/>
        <w:rPr>
          <w:rFonts w:ascii="宋体" w:hAnsi="TimesNewRomanPSMT" w:eastAsia="宋体" w:cs="宋体"/>
          <w:color w:val="000000"/>
          <w:kern w:val="0"/>
          <w:szCs w:val="21"/>
        </w:rPr>
      </w:pPr>
      <w:r>
        <w:rPr>
          <w:rFonts w:hint="eastAsia" w:ascii="宋体" w:hAnsi="TimesNewRomanPSMT" w:eastAsia="宋体" w:cs="宋体"/>
          <w:color w:val="000000"/>
          <w:kern w:val="0"/>
          <w:szCs w:val="21"/>
        </w:rPr>
        <w:t>3.2.1 评标委员会依据本章第2.1项规定的标准对投标文件进行初步评审，有一项不符合评审标准的，作无效标处理。</w:t>
      </w:r>
    </w:p>
    <w:p>
      <w:pPr>
        <w:autoSpaceDE w:val="0"/>
        <w:autoSpaceDN w:val="0"/>
        <w:adjustRightInd w:val="0"/>
        <w:spacing w:line="400" w:lineRule="exact"/>
        <w:ind w:firstLine="420" w:firstLineChars="200"/>
        <w:jc w:val="left"/>
        <w:rPr>
          <w:rFonts w:ascii="宋体" w:hAnsi="TimesNewRomanPSMT" w:eastAsia="宋体" w:cs="宋体"/>
          <w:color w:val="000000"/>
          <w:kern w:val="0"/>
          <w:szCs w:val="21"/>
        </w:rPr>
      </w:pPr>
      <w:r>
        <w:rPr>
          <w:rFonts w:hint="eastAsia" w:ascii="黑体" w:hAnsi="TimesNewRomanPSMT" w:eastAsia="黑体" w:cs="宋体"/>
          <w:color w:val="000000"/>
          <w:kern w:val="0"/>
          <w:szCs w:val="21"/>
        </w:rPr>
        <w:t>3</w:t>
      </w:r>
      <w:r>
        <w:rPr>
          <w:rFonts w:hint="eastAsia" w:ascii="宋体" w:hAnsi="TimesNewRomanPSMT" w:eastAsia="宋体" w:cs="宋体"/>
          <w:color w:val="000000"/>
          <w:kern w:val="0"/>
          <w:szCs w:val="21"/>
        </w:rPr>
        <w:t>.2.2 投标人有以下情形之一的，其投标作无效标处理：</w:t>
      </w:r>
    </w:p>
    <w:p>
      <w:pPr>
        <w:autoSpaceDE w:val="0"/>
        <w:autoSpaceDN w:val="0"/>
        <w:adjustRightInd w:val="0"/>
        <w:spacing w:line="400" w:lineRule="exact"/>
        <w:ind w:firstLine="420" w:firstLineChars="200"/>
        <w:jc w:val="left"/>
        <w:rPr>
          <w:rFonts w:ascii="宋体" w:hAnsi="TimesNewRomanPSMT" w:eastAsia="宋体" w:cs="宋体"/>
          <w:color w:val="000000"/>
          <w:kern w:val="0"/>
          <w:szCs w:val="21"/>
        </w:rPr>
      </w:pPr>
      <w:r>
        <w:rPr>
          <w:rFonts w:hint="eastAsia" w:ascii="宋体" w:hAnsi="TimesNewRomanPSMT" w:eastAsia="宋体" w:cs="宋体"/>
          <w:color w:val="000000"/>
          <w:kern w:val="0"/>
          <w:szCs w:val="21"/>
        </w:rPr>
        <w:t>（1）. 投标文件中的投标函未加盖投标人的公章及企业法定代表人印章的，或者企业法定代表人委托代理人没有合法、有效的委托书（原件）及委托代理人印章的；</w:t>
      </w:r>
    </w:p>
    <w:p>
      <w:pPr>
        <w:autoSpaceDE w:val="0"/>
        <w:autoSpaceDN w:val="0"/>
        <w:adjustRightInd w:val="0"/>
        <w:spacing w:line="400" w:lineRule="exact"/>
        <w:ind w:firstLine="420" w:firstLineChars="200"/>
        <w:jc w:val="left"/>
        <w:rPr>
          <w:rFonts w:ascii="宋体" w:hAnsi="TimesNewRomanPSMT" w:eastAsia="宋体" w:cs="宋体"/>
          <w:color w:val="000000"/>
          <w:kern w:val="0"/>
          <w:szCs w:val="21"/>
        </w:rPr>
      </w:pPr>
      <w:r>
        <w:rPr>
          <w:rFonts w:hint="eastAsia" w:ascii="宋体" w:hAnsi="TimesNewRomanPSMT" w:eastAsia="宋体" w:cs="宋体"/>
          <w:color w:val="000000"/>
          <w:kern w:val="0"/>
          <w:szCs w:val="21"/>
        </w:rPr>
        <w:t xml:space="preserve">（2）. 未按招标文件要求提供投标保证金的； </w:t>
      </w:r>
    </w:p>
    <w:p>
      <w:pPr>
        <w:autoSpaceDE w:val="0"/>
        <w:autoSpaceDN w:val="0"/>
        <w:adjustRightInd w:val="0"/>
        <w:spacing w:line="400" w:lineRule="exact"/>
        <w:ind w:firstLine="420" w:firstLineChars="200"/>
        <w:jc w:val="left"/>
        <w:rPr>
          <w:rFonts w:ascii="宋体" w:hAnsi="TimesNewRomanPSMT" w:eastAsia="宋体" w:cs="宋体"/>
          <w:color w:val="000000"/>
          <w:kern w:val="0"/>
          <w:szCs w:val="21"/>
        </w:rPr>
      </w:pPr>
      <w:r>
        <w:rPr>
          <w:rFonts w:hint="eastAsia" w:ascii="宋体" w:hAnsi="TimesNewRomanPSMT" w:eastAsia="宋体" w:cs="宋体"/>
          <w:color w:val="000000"/>
          <w:kern w:val="0"/>
          <w:szCs w:val="21"/>
        </w:rPr>
        <w:t xml:space="preserve">（3）. 未按招标文件规定的格式填写，内容不全或关键字迹模糊、无法辨认的，不符合招标文件有关暗标要求的； </w:t>
      </w:r>
    </w:p>
    <w:p>
      <w:pPr>
        <w:autoSpaceDE w:val="0"/>
        <w:autoSpaceDN w:val="0"/>
        <w:adjustRightInd w:val="0"/>
        <w:spacing w:line="400" w:lineRule="exact"/>
        <w:ind w:firstLine="420" w:firstLineChars="200"/>
        <w:jc w:val="left"/>
        <w:rPr>
          <w:rFonts w:ascii="宋体" w:hAnsi="TimesNewRomanPSMT" w:eastAsia="宋体" w:cs="宋体"/>
          <w:color w:val="000000"/>
          <w:kern w:val="0"/>
          <w:szCs w:val="21"/>
        </w:rPr>
      </w:pPr>
      <w:r>
        <w:rPr>
          <w:rFonts w:hint="eastAsia" w:ascii="宋体" w:hAnsi="TimesNewRomanPSMT" w:eastAsia="宋体" w:cs="宋体"/>
          <w:color w:val="000000"/>
          <w:kern w:val="0"/>
          <w:szCs w:val="21"/>
        </w:rPr>
        <w:t xml:space="preserve">（4）. 投标人递交两份或多份内容不同的投标文件，或在一份投标文件中对同一招标项目报有两个或多个报价，且未声明哪一个有效，按招标文件规定提交备选投标方案的除外； </w:t>
      </w:r>
    </w:p>
    <w:p>
      <w:pPr>
        <w:autoSpaceDE w:val="0"/>
        <w:autoSpaceDN w:val="0"/>
        <w:adjustRightInd w:val="0"/>
        <w:spacing w:line="400" w:lineRule="exact"/>
        <w:ind w:firstLine="420" w:firstLineChars="200"/>
        <w:jc w:val="left"/>
        <w:rPr>
          <w:rFonts w:ascii="宋体" w:hAnsi="TimesNewRomanPSMT" w:eastAsia="宋体" w:cs="宋体"/>
          <w:color w:val="000000"/>
          <w:kern w:val="0"/>
          <w:szCs w:val="21"/>
        </w:rPr>
      </w:pPr>
      <w:r>
        <w:rPr>
          <w:rFonts w:hint="eastAsia" w:ascii="宋体" w:hAnsi="TimesNewRomanPSMT" w:eastAsia="宋体" w:cs="宋体"/>
          <w:color w:val="000000"/>
          <w:kern w:val="0"/>
          <w:szCs w:val="21"/>
        </w:rPr>
        <w:t>（5）. 投标人名称或组织结构与资格预审时不一致的；组成联合体投标的，投标文件未附联合体各方共同投标协议的。投标时联合体成员与报名资格预审合格时的成员不一致的；</w:t>
      </w:r>
    </w:p>
    <w:p>
      <w:pPr>
        <w:autoSpaceDE w:val="0"/>
        <w:autoSpaceDN w:val="0"/>
        <w:adjustRightInd w:val="0"/>
        <w:spacing w:line="400" w:lineRule="exact"/>
        <w:ind w:firstLine="420" w:firstLineChars="200"/>
        <w:jc w:val="left"/>
        <w:rPr>
          <w:rFonts w:ascii="宋体" w:hAnsi="TimesNewRomanPSMT" w:eastAsia="宋体" w:cs="宋体"/>
          <w:color w:val="000000"/>
          <w:kern w:val="0"/>
          <w:szCs w:val="21"/>
        </w:rPr>
      </w:pPr>
      <w:r>
        <w:rPr>
          <w:rFonts w:hint="eastAsia" w:ascii="宋体" w:hAnsi="TimesNewRomanPSMT" w:eastAsia="宋体" w:cs="宋体"/>
          <w:color w:val="000000"/>
          <w:kern w:val="0"/>
          <w:szCs w:val="21"/>
        </w:rPr>
        <w:t>（6）. 投标人资格条件不符合国家有关规定或招标文件要求的；</w:t>
      </w:r>
    </w:p>
    <w:p>
      <w:pPr>
        <w:autoSpaceDE w:val="0"/>
        <w:autoSpaceDN w:val="0"/>
        <w:adjustRightInd w:val="0"/>
        <w:spacing w:line="400" w:lineRule="exact"/>
        <w:ind w:firstLine="420" w:firstLineChars="200"/>
        <w:jc w:val="left"/>
        <w:rPr>
          <w:rFonts w:ascii="宋体" w:hAnsi="TimesNewRomanPSMT" w:eastAsia="宋体" w:cs="宋体"/>
          <w:color w:val="000000"/>
          <w:kern w:val="0"/>
          <w:szCs w:val="21"/>
        </w:rPr>
      </w:pPr>
      <w:r>
        <w:rPr>
          <w:rFonts w:hint="eastAsia" w:ascii="宋体" w:hAnsi="TimesNewRomanPSMT" w:eastAsia="宋体" w:cs="宋体"/>
          <w:color w:val="000000"/>
          <w:kern w:val="0"/>
          <w:szCs w:val="21"/>
        </w:rPr>
        <w:t>（7）. 投标报价高于招标文件设定的最高投标限价；</w:t>
      </w:r>
    </w:p>
    <w:p>
      <w:pPr>
        <w:autoSpaceDE w:val="0"/>
        <w:autoSpaceDN w:val="0"/>
        <w:adjustRightInd w:val="0"/>
        <w:spacing w:line="400" w:lineRule="exact"/>
        <w:ind w:firstLine="420" w:firstLineChars="200"/>
        <w:jc w:val="left"/>
        <w:rPr>
          <w:rFonts w:ascii="宋体" w:hAnsi="TimesNewRomanPSMT" w:eastAsia="宋体" w:cs="宋体"/>
          <w:color w:val="000000"/>
          <w:kern w:val="0"/>
          <w:szCs w:val="21"/>
        </w:rPr>
      </w:pPr>
      <w:r>
        <w:rPr>
          <w:rFonts w:hint="eastAsia" w:ascii="宋体" w:hAnsi="TimesNewRomanPSMT" w:eastAsia="宋体" w:cs="宋体"/>
          <w:color w:val="000000"/>
          <w:kern w:val="0"/>
          <w:szCs w:val="21"/>
        </w:rPr>
        <w:t>（8）. 投标文件载明的检验标准和方法等不符合招标文件的要求或明显不符合技术规范、技术标准的要求；</w:t>
      </w:r>
    </w:p>
    <w:p>
      <w:pPr>
        <w:autoSpaceDE w:val="0"/>
        <w:autoSpaceDN w:val="0"/>
        <w:adjustRightInd w:val="0"/>
        <w:spacing w:line="400" w:lineRule="exact"/>
        <w:ind w:firstLine="420" w:firstLineChars="200"/>
        <w:jc w:val="left"/>
        <w:rPr>
          <w:rFonts w:ascii="宋体" w:hAnsi="TimesNewRomanPSMT" w:eastAsia="宋体" w:cs="宋体"/>
          <w:color w:val="000000"/>
          <w:kern w:val="0"/>
          <w:szCs w:val="21"/>
        </w:rPr>
      </w:pPr>
      <w:r>
        <w:rPr>
          <w:rFonts w:hint="eastAsia" w:ascii="宋体" w:hAnsi="TimesNewRomanPSMT" w:eastAsia="宋体" w:cs="宋体"/>
          <w:color w:val="000000"/>
          <w:kern w:val="0"/>
          <w:szCs w:val="21"/>
        </w:rPr>
        <w:t>（9）.投标文件提出的范围、供货期、费用及支付办法不能满足招标文件要求或招标人不能接受；</w:t>
      </w:r>
    </w:p>
    <w:p>
      <w:pPr>
        <w:autoSpaceDE w:val="0"/>
        <w:autoSpaceDN w:val="0"/>
        <w:adjustRightInd w:val="0"/>
        <w:spacing w:line="400" w:lineRule="exact"/>
        <w:ind w:firstLine="420" w:firstLineChars="200"/>
        <w:jc w:val="left"/>
        <w:rPr>
          <w:rFonts w:ascii="宋体" w:hAnsi="TimesNewRomanPSMT" w:eastAsia="宋体" w:cs="宋体"/>
          <w:color w:val="000000"/>
          <w:kern w:val="0"/>
          <w:szCs w:val="21"/>
        </w:rPr>
      </w:pPr>
      <w:r>
        <w:rPr>
          <w:rFonts w:hint="eastAsia" w:ascii="宋体" w:hAnsi="TimesNewRomanPSMT" w:eastAsia="宋体" w:cs="宋体"/>
          <w:color w:val="000000"/>
          <w:kern w:val="0"/>
          <w:szCs w:val="21"/>
        </w:rPr>
        <w:t>（10）.不同投标人的投标文件出现了评标委员会认为不应当雷同的情况的；</w:t>
      </w:r>
    </w:p>
    <w:p>
      <w:pPr>
        <w:autoSpaceDE w:val="0"/>
        <w:autoSpaceDN w:val="0"/>
        <w:adjustRightInd w:val="0"/>
        <w:spacing w:line="400" w:lineRule="exact"/>
        <w:ind w:firstLine="420" w:firstLineChars="200"/>
        <w:jc w:val="left"/>
        <w:rPr>
          <w:rFonts w:ascii="宋体" w:hAnsi="TimesNewRomanPSMT" w:eastAsia="宋体" w:cs="宋体"/>
          <w:color w:val="000000"/>
          <w:kern w:val="0"/>
          <w:szCs w:val="21"/>
        </w:rPr>
      </w:pPr>
      <w:r>
        <w:rPr>
          <w:rFonts w:hint="eastAsia" w:ascii="宋体" w:hAnsi="TimesNewRomanPSMT" w:eastAsia="宋体" w:cs="宋体"/>
          <w:color w:val="000000"/>
          <w:kern w:val="0"/>
          <w:szCs w:val="21"/>
        </w:rPr>
        <w:t>（11）.以他人的名义投标、串通投标、以行贿手段谋取中标或者以其他弄虚作假方式投标的；</w:t>
      </w:r>
    </w:p>
    <w:p>
      <w:pPr>
        <w:autoSpaceDE w:val="0"/>
        <w:autoSpaceDN w:val="0"/>
        <w:adjustRightInd w:val="0"/>
        <w:spacing w:line="400" w:lineRule="exact"/>
        <w:ind w:firstLine="420" w:firstLineChars="200"/>
        <w:jc w:val="left"/>
        <w:rPr>
          <w:rFonts w:ascii="宋体" w:hAnsi="TimesNewRomanPSMT" w:eastAsia="宋体" w:cs="宋体"/>
          <w:color w:val="000000"/>
          <w:kern w:val="0"/>
          <w:szCs w:val="21"/>
        </w:rPr>
      </w:pPr>
      <w:r>
        <w:rPr>
          <w:rFonts w:hint="eastAsia" w:ascii="宋体" w:hAnsi="TimesNewRomanPSMT" w:eastAsia="宋体" w:cs="宋体"/>
          <w:color w:val="000000"/>
          <w:kern w:val="0"/>
          <w:szCs w:val="21"/>
        </w:rPr>
        <w:t>（12）. 投标人未按照招标文件的要求提供必须提交的相关资料或提供虚假资料的；</w:t>
      </w:r>
    </w:p>
    <w:p>
      <w:pPr>
        <w:autoSpaceDE w:val="0"/>
        <w:autoSpaceDN w:val="0"/>
        <w:adjustRightInd w:val="0"/>
        <w:spacing w:line="400" w:lineRule="exact"/>
        <w:ind w:firstLine="420" w:firstLineChars="200"/>
        <w:jc w:val="left"/>
        <w:rPr>
          <w:rFonts w:ascii="宋体" w:hAnsi="TimesNewRomanPSMT" w:eastAsia="宋体" w:cs="宋体"/>
          <w:color w:val="000000"/>
          <w:kern w:val="0"/>
          <w:szCs w:val="21"/>
        </w:rPr>
      </w:pPr>
      <w:r>
        <w:rPr>
          <w:rFonts w:hint="eastAsia" w:ascii="宋体" w:hAnsi="TimesNewRomanPSMT" w:eastAsia="宋体" w:cs="宋体"/>
          <w:color w:val="000000"/>
          <w:kern w:val="0"/>
          <w:szCs w:val="21"/>
        </w:rPr>
        <w:t>（13）. 招标文件规定的不违背法律法规的其它合理性重大偏差及法律法规规定的其它情况。</w:t>
      </w:r>
    </w:p>
    <w:p>
      <w:pPr>
        <w:spacing w:before="20" w:after="20" w:line="400" w:lineRule="exact"/>
        <w:outlineLvl w:val="2"/>
        <w:rPr>
          <w:rFonts w:ascii="Times New Roman" w:hAnsi="Times New Roman" w:eastAsia="黑体" w:cs="Times New Roman"/>
          <w:bCs/>
          <w:color w:val="000000"/>
          <w:kern w:val="0"/>
          <w:sz w:val="24"/>
          <w:szCs w:val="32"/>
        </w:rPr>
      </w:pPr>
      <w:r>
        <w:rPr>
          <w:rFonts w:hint="eastAsia" w:ascii="Times New Roman" w:hAnsi="Times New Roman" w:eastAsia="黑体" w:cs="Times New Roman"/>
          <w:bCs/>
          <w:color w:val="000000"/>
          <w:kern w:val="0"/>
          <w:sz w:val="24"/>
          <w:szCs w:val="32"/>
        </w:rPr>
        <w:t>3.3 详细评审</w:t>
      </w:r>
    </w:p>
    <w:p>
      <w:pPr>
        <w:autoSpaceDE w:val="0"/>
        <w:autoSpaceDN w:val="0"/>
        <w:adjustRightInd w:val="0"/>
        <w:spacing w:line="400" w:lineRule="exact"/>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3.3.1 评标委员会按本章第2.2项规定的评分标准进行。</w:t>
      </w:r>
    </w:p>
    <w:p>
      <w:pPr>
        <w:spacing w:before="20" w:after="20" w:line="400" w:lineRule="exact"/>
        <w:outlineLvl w:val="2"/>
        <w:rPr>
          <w:rFonts w:ascii="Times New Roman" w:hAnsi="Times New Roman" w:eastAsia="黑体" w:cs="Times New Roman"/>
          <w:bCs/>
          <w:color w:val="000000"/>
          <w:kern w:val="0"/>
          <w:sz w:val="24"/>
          <w:szCs w:val="32"/>
        </w:rPr>
      </w:pPr>
      <w:r>
        <w:rPr>
          <w:rFonts w:hint="eastAsia" w:ascii="Times New Roman" w:hAnsi="Times New Roman" w:eastAsia="黑体" w:cs="Times New Roman"/>
          <w:bCs/>
          <w:color w:val="000000"/>
          <w:kern w:val="0"/>
          <w:sz w:val="24"/>
          <w:szCs w:val="32"/>
        </w:rPr>
        <w:t>3.4 澄清、说明或补正</w:t>
      </w:r>
    </w:p>
    <w:p>
      <w:pPr>
        <w:autoSpaceDE w:val="0"/>
        <w:autoSpaceDN w:val="0"/>
        <w:adjustRightInd w:val="0"/>
        <w:spacing w:line="400" w:lineRule="exact"/>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3.4.1 在评标过程中，评标委员会可以书面形式要求投标人对所提交投标文件中不明确的内容进行书面澄清或说明，或者对细微偏差进行补正。评标委员会不接受投标人主动提出的澄清、说明或补正；</w:t>
      </w:r>
    </w:p>
    <w:p>
      <w:pPr>
        <w:autoSpaceDE w:val="0"/>
        <w:autoSpaceDN w:val="0"/>
        <w:adjustRightInd w:val="0"/>
        <w:spacing w:line="400" w:lineRule="exact"/>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3.4.2 澄清、说明和补正不得改变投标文件的实质性内容。投标人的书面澄清、说明和补正属于投标文件的组成部分；</w:t>
      </w:r>
    </w:p>
    <w:p>
      <w:pPr>
        <w:autoSpaceDE w:val="0"/>
        <w:autoSpaceDN w:val="0"/>
        <w:adjustRightInd w:val="0"/>
        <w:spacing w:line="400" w:lineRule="exact"/>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3.4.3 评标委员会对投标人提交的澄清、说明或补正有疑问的，可以要求投标人进一步澄清、说明或补正，直至满足评标委员会的要求。</w:t>
      </w:r>
    </w:p>
    <w:p>
      <w:pPr>
        <w:spacing w:before="20" w:after="20" w:line="400" w:lineRule="exact"/>
        <w:outlineLvl w:val="2"/>
        <w:rPr>
          <w:rFonts w:ascii="Times New Roman" w:hAnsi="Times New Roman" w:eastAsia="黑体" w:cs="Times New Roman"/>
          <w:bCs/>
          <w:color w:val="000000"/>
          <w:kern w:val="0"/>
          <w:sz w:val="24"/>
          <w:szCs w:val="32"/>
        </w:rPr>
      </w:pPr>
      <w:r>
        <w:rPr>
          <w:rFonts w:hint="eastAsia" w:ascii="Times New Roman" w:hAnsi="Times New Roman" w:eastAsia="黑体" w:cs="Times New Roman"/>
          <w:bCs/>
          <w:color w:val="000000"/>
          <w:kern w:val="0"/>
          <w:sz w:val="24"/>
          <w:szCs w:val="32"/>
        </w:rPr>
        <w:t>3.5 推荐中标候选人或直接确定中标人</w:t>
      </w:r>
    </w:p>
    <w:p>
      <w:pPr>
        <w:autoSpaceDE w:val="0"/>
        <w:autoSpaceDN w:val="0"/>
        <w:adjustRightInd w:val="0"/>
        <w:spacing w:line="400" w:lineRule="exact"/>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3.5.1 除投标人须知前附表授权直接确定中标人外，评标委员会在推荐中标候选人时，应遵照以下原则:</w:t>
      </w:r>
    </w:p>
    <w:p>
      <w:pPr>
        <w:autoSpaceDE w:val="0"/>
        <w:autoSpaceDN w:val="0"/>
        <w:adjustRightInd w:val="0"/>
        <w:spacing w:line="400" w:lineRule="exact"/>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(1)评标委员会按照投标报价由低到高的次序排列，并根据投标人须知前附表规定的中标候选人数量，将排序在前的投标人推荐为中标候选人。</w:t>
      </w:r>
    </w:p>
    <w:p>
      <w:pPr>
        <w:autoSpaceDE w:val="0"/>
        <w:autoSpaceDN w:val="0"/>
        <w:adjustRightInd w:val="0"/>
        <w:spacing w:line="400" w:lineRule="exact"/>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(2)如果评标委员会根据本章的规定作无效标处理后，有效投标不足三个，且少于投标人须知前附表规定的中标候选人数量的，则评标委员会可以将所有有效投标按最终报价由低至高的次序作为中标候选人向招标人推荐。如果因有效投标不足三个使得投标明显缺乏竞争的，评标委员会可以否决所有投标。</w:t>
      </w:r>
    </w:p>
    <w:p>
      <w:pPr>
        <w:autoSpaceDE w:val="0"/>
        <w:autoSpaceDN w:val="0"/>
        <w:adjustRightInd w:val="0"/>
        <w:spacing w:line="400" w:lineRule="exact"/>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3.5.2 投标人须知前附表授权评标委员会直接确定中标人的，评标委员会按照投标报价由低到高的次序排列，并确定排名第一的投标人为中标人。</w:t>
      </w:r>
    </w:p>
    <w:p>
      <w:pPr>
        <w:spacing w:line="360" w:lineRule="auto"/>
        <w:ind w:firstLine="480" w:firstLineChars="200"/>
        <w:rPr>
          <w:rFonts w:ascii="宋体" w:hAnsi="Times New Roman" w:eastAsia="宋体" w:cs="Times New Roman"/>
          <w:color w:val="000000"/>
          <w:szCs w:val="20"/>
        </w:rPr>
      </w:pPr>
      <w:bookmarkStart w:id="219" w:name="_Toc397975305"/>
      <w:r>
        <w:rPr>
          <w:rFonts w:hint="eastAsia" w:ascii="Times New Roman" w:hAnsi="Times New Roman" w:eastAsia="黑体" w:cs="Times New Roman"/>
          <w:color w:val="000000"/>
          <w:sz w:val="24"/>
          <w:szCs w:val="20"/>
        </w:rPr>
        <w:t>3.6 提交评标报告</w:t>
      </w:r>
      <w:bookmarkEnd w:id="219"/>
      <w:r>
        <w:rPr>
          <w:rFonts w:hint="eastAsia" w:ascii="宋体" w:hAnsi="Times New Roman" w:eastAsia="宋体" w:cs="Times New Roman"/>
          <w:color w:val="000000"/>
          <w:szCs w:val="20"/>
        </w:rPr>
        <w:t xml:space="preserve"> </w:t>
      </w:r>
    </w:p>
    <w:p>
      <w:pPr>
        <w:spacing w:line="360" w:lineRule="auto"/>
        <w:ind w:firstLine="420" w:firstLineChars="200"/>
        <w:rPr>
          <w:rFonts w:ascii="宋体" w:hAnsi="Times New Roman" w:eastAsia="宋体" w:cs="Times New Roman"/>
          <w:color w:val="000000"/>
          <w:szCs w:val="20"/>
        </w:rPr>
      </w:pPr>
      <w:r>
        <w:rPr>
          <w:rFonts w:hint="eastAsia" w:ascii="宋体" w:hAnsi="Times New Roman" w:eastAsia="宋体" w:cs="Times New Roman"/>
          <w:color w:val="000000"/>
          <w:szCs w:val="20"/>
        </w:rPr>
        <w:t>评标委员会完成评标后，应当向招标人提交书面评标报告。评标报告应当由全体评标委员会成员签字，并于评标结束时抄送有关行政监督部门。</w:t>
      </w:r>
    </w:p>
    <w:p>
      <w:pPr>
        <w:spacing w:line="360" w:lineRule="auto"/>
        <w:outlineLvl w:val="2"/>
        <w:rPr>
          <w:rFonts w:ascii="宋体" w:hAnsi="Times New Roman" w:eastAsia="宋体" w:cs="Times New Roman"/>
          <w:color w:val="000000"/>
          <w:szCs w:val="20"/>
        </w:rPr>
      </w:pPr>
    </w:p>
    <w:p>
      <w:pPr>
        <w:autoSpaceDE w:val="0"/>
        <w:autoSpaceDN w:val="0"/>
        <w:spacing w:line="440" w:lineRule="exact"/>
        <w:ind w:firstLine="420" w:firstLineChars="200"/>
        <w:jc w:val="left"/>
        <w:rPr>
          <w:rFonts w:ascii="Times New Roman" w:hAnsi="Times New Roman" w:eastAsia="宋体" w:cs="Times New Roman"/>
          <w:szCs w:val="20"/>
        </w:rPr>
        <w:sectPr>
          <w:type w:val="nextColumn"/>
          <w:pgSz w:w="11906" w:h="16838"/>
          <w:pgMar w:top="1418" w:right="1021" w:bottom="1134" w:left="1701" w:header="851" w:footer="624" w:gutter="0"/>
          <w:cols w:space="720" w:num="1"/>
          <w:docGrid w:linePitch="312" w:charSpace="0"/>
        </w:sectPr>
      </w:pPr>
    </w:p>
    <w:p>
      <w:pPr>
        <w:tabs>
          <w:tab w:val="left" w:pos="0"/>
        </w:tabs>
        <w:adjustRightInd w:val="0"/>
        <w:spacing w:line="500" w:lineRule="exact"/>
        <w:jc w:val="center"/>
        <w:outlineLvl w:val="0"/>
        <w:rPr>
          <w:rFonts w:ascii="Times New Roman" w:hAnsi="Times New Roman" w:eastAsia="宋体" w:cs="Times New Roman"/>
          <w:b/>
          <w:kern w:val="44"/>
          <w:sz w:val="32"/>
          <w:szCs w:val="32"/>
        </w:rPr>
      </w:pPr>
      <w:r>
        <w:rPr>
          <w:rFonts w:ascii="Times New Roman" w:hAnsi="Times New Roman" w:eastAsia="宋体" w:cs="Times New Roman"/>
          <w:b/>
          <w:kern w:val="44"/>
          <w:sz w:val="32"/>
          <w:szCs w:val="32"/>
        </w:rPr>
        <w:t>第四章</w:t>
      </w:r>
      <w:r>
        <w:rPr>
          <w:rFonts w:hint="eastAsia" w:ascii="Times New Roman" w:hAnsi="Times New Roman" w:eastAsia="宋体" w:cs="Times New Roman"/>
          <w:b/>
          <w:kern w:val="44"/>
          <w:sz w:val="32"/>
          <w:szCs w:val="32"/>
        </w:rPr>
        <w:t>合同条款及格式</w:t>
      </w:r>
    </w:p>
    <w:p>
      <w:pPr>
        <w:autoSpaceDN w:val="0"/>
        <w:spacing w:line="280" w:lineRule="exact"/>
        <w:rPr>
          <w:rFonts w:ascii="宋体" w:hAnsi="Times New Roman" w:eastAsia="宋体" w:cs="Times New Roman"/>
          <w:b/>
          <w:bCs/>
          <w:color w:val="000000"/>
          <w:szCs w:val="21"/>
        </w:rPr>
      </w:pPr>
    </w:p>
    <w:p>
      <w:pPr>
        <w:spacing w:before="1560" w:beforeLines="500" w:after="3120" w:afterLines="1000" w:line="660" w:lineRule="auto"/>
        <w:ind w:right="1260" w:rightChars="600"/>
        <w:jc w:val="center"/>
        <w:rPr>
          <w:rFonts w:ascii="宋体" w:hAnsi="Times New Roman" w:eastAsia="宋体" w:cs="宋体"/>
          <w:sz w:val="32"/>
          <w:szCs w:val="32"/>
        </w:rPr>
      </w:pPr>
      <w:r>
        <w:rPr>
          <w:rFonts w:hint="eastAsia" w:ascii="宋体" w:hAnsi="Times New Roman" w:eastAsia="宋体" w:cs="宋体"/>
          <w:sz w:val="32"/>
          <w:szCs w:val="32"/>
        </w:rPr>
        <w:t xml:space="preserve">      防火门、防火窗采购及安装项目合同</w:t>
      </w:r>
    </w:p>
    <w:p>
      <w:pPr>
        <w:adjustRightInd w:val="0"/>
        <w:snapToGrid w:val="0"/>
        <w:spacing w:line="420" w:lineRule="auto"/>
        <w:ind w:firstLine="1200" w:firstLineChars="400"/>
        <w:jc w:val="left"/>
        <w:rPr>
          <w:rFonts w:ascii="宋体" w:hAnsi="Times New Roman" w:eastAsia="宋体" w:cs="宋体"/>
          <w:spacing w:val="-10"/>
          <w:sz w:val="32"/>
          <w:szCs w:val="32"/>
        </w:rPr>
      </w:pPr>
    </w:p>
    <w:p>
      <w:pPr>
        <w:adjustRightInd w:val="0"/>
        <w:snapToGrid w:val="0"/>
        <w:spacing w:line="420" w:lineRule="auto"/>
        <w:ind w:firstLine="1200" w:firstLineChars="400"/>
        <w:jc w:val="left"/>
        <w:rPr>
          <w:rFonts w:ascii="宋体" w:hAnsi="Times New Roman" w:eastAsia="宋体" w:cs="宋体"/>
          <w:spacing w:val="-10"/>
          <w:sz w:val="32"/>
          <w:szCs w:val="32"/>
        </w:rPr>
      </w:pPr>
    </w:p>
    <w:p>
      <w:pPr>
        <w:adjustRightInd w:val="0"/>
        <w:snapToGrid w:val="0"/>
        <w:spacing w:line="420" w:lineRule="auto"/>
        <w:ind w:firstLine="1200" w:firstLineChars="400"/>
        <w:jc w:val="left"/>
        <w:rPr>
          <w:rFonts w:ascii="宋体" w:hAnsi="Times New Roman" w:eastAsia="宋体" w:cs="宋体"/>
          <w:sz w:val="30"/>
          <w:szCs w:val="30"/>
          <w:u w:val="single"/>
        </w:rPr>
      </w:pPr>
      <w:r>
        <w:rPr>
          <w:rFonts w:hint="eastAsia" w:ascii="宋体" w:hAnsi="Times New Roman" w:eastAsia="宋体" w:cs="宋体"/>
          <w:spacing w:val="-10"/>
          <w:sz w:val="32"/>
          <w:szCs w:val="32"/>
        </w:rPr>
        <w:t>甲（买）方</w:t>
      </w:r>
      <w:r>
        <w:rPr>
          <w:rFonts w:hint="eastAsia" w:ascii="宋体" w:hAnsi="Times New Roman" w:eastAsia="宋体" w:cs="宋体"/>
          <w:sz w:val="32"/>
          <w:szCs w:val="32"/>
        </w:rPr>
        <w:t>：</w:t>
      </w:r>
      <w:r>
        <w:rPr>
          <w:rFonts w:hint="eastAsia" w:ascii="宋体" w:hAnsi="Times New Roman" w:eastAsia="宋体" w:cs="宋体"/>
          <w:sz w:val="30"/>
          <w:szCs w:val="30"/>
          <w:u w:val="single"/>
        </w:rPr>
        <w:t xml:space="preserve">                         </w:t>
      </w:r>
    </w:p>
    <w:p>
      <w:pPr>
        <w:adjustRightInd w:val="0"/>
        <w:snapToGrid w:val="0"/>
        <w:spacing w:line="420" w:lineRule="auto"/>
        <w:ind w:firstLine="1200" w:firstLineChars="400"/>
        <w:jc w:val="left"/>
        <w:rPr>
          <w:rFonts w:ascii="宋体" w:hAnsi="Times New Roman" w:eastAsia="宋体" w:cs="宋体"/>
          <w:sz w:val="30"/>
          <w:szCs w:val="30"/>
          <w:u w:val="single"/>
        </w:rPr>
      </w:pPr>
      <w:r>
        <w:rPr>
          <w:rFonts w:hint="eastAsia" w:ascii="宋体" w:hAnsi="Times New Roman" w:eastAsia="宋体" w:cs="宋体"/>
          <w:spacing w:val="-10"/>
          <w:sz w:val="32"/>
          <w:szCs w:val="32"/>
        </w:rPr>
        <w:t>乙（卖）方</w:t>
      </w:r>
      <w:r>
        <w:rPr>
          <w:rFonts w:hint="eastAsia" w:ascii="宋体" w:hAnsi="Times New Roman" w:eastAsia="宋体" w:cs="宋体"/>
          <w:sz w:val="32"/>
          <w:szCs w:val="32"/>
        </w:rPr>
        <w:t>：</w:t>
      </w:r>
      <w:r>
        <w:rPr>
          <w:rFonts w:hint="eastAsia" w:ascii="宋体" w:hAnsi="Times New Roman" w:eastAsia="宋体" w:cs="宋体"/>
          <w:sz w:val="30"/>
          <w:szCs w:val="30"/>
          <w:u w:val="single"/>
        </w:rPr>
        <w:t xml:space="preserve">                          </w:t>
      </w:r>
    </w:p>
    <w:p>
      <w:pPr>
        <w:adjustRightInd w:val="0"/>
        <w:snapToGrid w:val="0"/>
        <w:spacing w:line="420" w:lineRule="auto"/>
        <w:ind w:firstLine="1280" w:firstLineChars="400"/>
        <w:jc w:val="left"/>
        <w:rPr>
          <w:rFonts w:ascii="宋体" w:hAnsi="Times New Roman" w:eastAsia="宋体" w:cs="宋体"/>
          <w:sz w:val="30"/>
          <w:szCs w:val="30"/>
        </w:rPr>
      </w:pPr>
      <w:r>
        <w:rPr>
          <w:rFonts w:hint="eastAsia" w:ascii="宋体" w:hAnsi="Times New Roman" w:eastAsia="宋体" w:cs="宋体"/>
          <w:sz w:val="32"/>
          <w:szCs w:val="32"/>
        </w:rPr>
        <w:t>签订时间：</w:t>
      </w:r>
      <w:r>
        <w:rPr>
          <w:rFonts w:hint="eastAsia" w:ascii="宋体" w:hAnsi="Times New Roman" w:eastAsia="宋体" w:cs="宋体"/>
          <w:sz w:val="30"/>
          <w:szCs w:val="30"/>
          <w:u w:val="single"/>
        </w:rPr>
        <w:t xml:space="preserve"> 年     月     日     </w:t>
      </w:r>
    </w:p>
    <w:p>
      <w:pPr>
        <w:adjustRightInd w:val="0"/>
        <w:snapToGrid w:val="0"/>
        <w:spacing w:line="420" w:lineRule="auto"/>
        <w:ind w:firstLine="1280" w:firstLineChars="400"/>
        <w:jc w:val="left"/>
        <w:rPr>
          <w:rFonts w:ascii="宋体" w:hAnsi="Times New Roman" w:eastAsia="宋体" w:cs="宋体"/>
          <w:sz w:val="30"/>
          <w:szCs w:val="30"/>
        </w:rPr>
      </w:pPr>
      <w:r>
        <w:rPr>
          <w:rFonts w:hint="eastAsia" w:ascii="宋体" w:hAnsi="Times New Roman" w:eastAsia="宋体" w:cs="宋体"/>
          <w:sz w:val="32"/>
          <w:szCs w:val="32"/>
        </w:rPr>
        <w:t>签订地点：</w:t>
      </w:r>
      <w:r>
        <w:rPr>
          <w:rFonts w:hint="eastAsia" w:ascii="宋体" w:hAnsi="Times New Roman" w:eastAsia="宋体" w:cs="宋体"/>
          <w:sz w:val="30"/>
          <w:szCs w:val="30"/>
          <w:u w:val="single"/>
        </w:rPr>
        <w:t xml:space="preserve">                            </w:t>
      </w:r>
    </w:p>
    <w:p>
      <w:pPr>
        <w:adjustRightInd w:val="0"/>
        <w:snapToGrid w:val="0"/>
        <w:spacing w:line="300" w:lineRule="exact"/>
        <w:rPr>
          <w:rFonts w:ascii="宋体" w:hAnsi="Times New Roman" w:eastAsia="宋体" w:cs="宋体"/>
          <w:sz w:val="44"/>
          <w:szCs w:val="44"/>
        </w:rPr>
        <w:sectPr>
          <w:footerReference r:id="rId8" w:type="default"/>
          <w:footerReference r:id="rId9" w:type="even"/>
          <w:pgSz w:w="11906" w:h="16838"/>
          <w:pgMar w:top="1418" w:right="1021" w:bottom="1134" w:left="1701" w:header="851" w:footer="624" w:gutter="0"/>
          <w:cols w:space="720" w:num="1"/>
          <w:docGrid w:type="lines" w:linePitch="312" w:charSpace="0"/>
        </w:sectPr>
      </w:pPr>
    </w:p>
    <w:p>
      <w:pPr>
        <w:adjustRightInd w:val="0"/>
        <w:snapToGrid w:val="0"/>
        <w:spacing w:line="360" w:lineRule="auto"/>
        <w:ind w:firstLine="472" w:firstLineChars="225"/>
        <w:rPr>
          <w:rFonts w:ascii="宋体" w:hAnsi="Times New Roman" w:eastAsia="宋体" w:cs="宋体"/>
          <w:szCs w:val="21"/>
        </w:rPr>
      </w:pPr>
      <w:r>
        <w:rPr>
          <w:rFonts w:hint="eastAsia" w:ascii="宋体" w:hAnsi="Times New Roman" w:eastAsia="宋体" w:cs="宋体"/>
          <w:szCs w:val="21"/>
        </w:rPr>
        <w:t>甲乙双方根据《中华人民共和国民法典》、《中华人民共和国招标投标法》等相关法律法规以及本项目的招标文件、答疑文件及投标文件，经协商达成合同如下：</w:t>
      </w:r>
    </w:p>
    <w:p>
      <w:pPr>
        <w:adjustRightInd w:val="0"/>
        <w:snapToGrid w:val="0"/>
        <w:spacing w:before="120" w:beforeLines="50" w:after="120" w:afterLines="50" w:line="360" w:lineRule="auto"/>
        <w:rPr>
          <w:rFonts w:ascii="宋体" w:hAnsi="Times New Roman" w:eastAsia="宋体" w:cs="宋体"/>
          <w:b/>
          <w:szCs w:val="21"/>
        </w:rPr>
      </w:pPr>
      <w:r>
        <w:rPr>
          <w:rFonts w:hint="eastAsia" w:ascii="宋体" w:hAnsi="Times New Roman" w:eastAsia="宋体" w:cs="宋体"/>
          <w:b/>
          <w:szCs w:val="21"/>
        </w:rPr>
        <w:t>一、合同标的</w:t>
      </w:r>
    </w:p>
    <w:p>
      <w:pPr>
        <w:tabs>
          <w:tab w:val="left" w:pos="0"/>
        </w:tabs>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1、本合同标的物为</w:t>
      </w:r>
      <w:r>
        <w:rPr>
          <w:rFonts w:hint="eastAsia" w:ascii="宋体" w:hAnsi="Times New Roman" w:eastAsia="宋体" w:cs="宋体"/>
          <w:szCs w:val="21"/>
          <w:u w:val="single"/>
        </w:rPr>
        <w:t xml:space="preserve">防火门（甲级、乙级、丙级），防火窗（乙级） </w:t>
      </w:r>
      <w:r>
        <w:rPr>
          <w:rFonts w:hint="eastAsia" w:ascii="宋体" w:hAnsi="Times New Roman" w:eastAsia="宋体" w:cs="宋体"/>
          <w:szCs w:val="21"/>
        </w:rPr>
        <w:t>，包括所有防火门、防火窗的深化设计、加工、制作、运输、装卸（货到工地后供应商负责卸至采购人指定楼层位置，并堆放整齐）、安装(包含五金、灌浆等)、检测、消防验收、税金等一切费用</w:t>
      </w:r>
      <w:r>
        <w:rPr>
          <w:rFonts w:hint="eastAsia" w:ascii="宋体" w:hAnsi="宋体" w:eastAsia="宋体" w:cs="宋体"/>
          <w:szCs w:val="21"/>
        </w:rPr>
        <w:t>。</w:t>
      </w:r>
      <w:r>
        <w:rPr>
          <w:rFonts w:hint="eastAsia" w:ascii="宋体" w:hAnsi="宋体" w:eastAsia="宋体" w:cs="宋体"/>
          <w:color w:val="000000"/>
          <w:kern w:val="0"/>
          <w:szCs w:val="21"/>
        </w:rPr>
        <w:t>所供防火门、防火窗必须注明生产厂家品牌、规格、执行标准、生产日期等标识。</w:t>
      </w:r>
      <w:r>
        <w:rPr>
          <w:rFonts w:hint="eastAsia" w:ascii="宋体" w:hAnsi="Times New Roman" w:eastAsia="宋体" w:cs="宋体"/>
          <w:szCs w:val="21"/>
        </w:rPr>
        <w:t>具体明细详见附件清单。</w:t>
      </w:r>
    </w:p>
    <w:p>
      <w:pPr>
        <w:adjustRightInd w:val="0"/>
        <w:snapToGrid w:val="0"/>
        <w:spacing w:before="120" w:beforeLines="50" w:after="120" w:afterLines="50" w:line="360" w:lineRule="auto"/>
        <w:rPr>
          <w:rFonts w:ascii="宋体" w:hAnsi="Times New Roman" w:eastAsia="宋体" w:cs="宋体"/>
          <w:b/>
          <w:szCs w:val="21"/>
        </w:rPr>
      </w:pPr>
      <w:r>
        <w:rPr>
          <w:rFonts w:hint="eastAsia" w:ascii="宋体" w:hAnsi="Times New Roman" w:eastAsia="宋体" w:cs="宋体"/>
          <w:b/>
          <w:szCs w:val="21"/>
        </w:rPr>
        <w:t>二、质量要求：</w:t>
      </w:r>
    </w:p>
    <w:p>
      <w:pPr>
        <w:adjustRightInd w:val="0"/>
        <w:snapToGrid w:val="0"/>
        <w:spacing w:line="360" w:lineRule="auto"/>
        <w:ind w:firstLine="422" w:firstLineChars="200"/>
        <w:rPr>
          <w:rFonts w:ascii="宋体" w:hAnsi="Times New Roman" w:eastAsia="宋体" w:cs="宋体"/>
          <w:szCs w:val="21"/>
        </w:rPr>
      </w:pPr>
      <w:r>
        <w:rPr>
          <w:rFonts w:hint="eastAsia" w:ascii="宋体" w:hAnsi="Times New Roman" w:eastAsia="宋体" w:cs="宋体"/>
          <w:b/>
          <w:szCs w:val="21"/>
        </w:rPr>
        <w:t>1、</w:t>
      </w:r>
      <w:r>
        <w:rPr>
          <w:rFonts w:hint="eastAsia" w:ascii="宋体" w:hAnsi="Times New Roman" w:eastAsia="宋体" w:cs="宋体"/>
          <w:szCs w:val="21"/>
        </w:rPr>
        <w:t>本项目质量要求一次性通过工程验收，如达不到合同约定要求，该批次货物全部退货，由于整改造成的返工等各项费用由乙方自行承担，并赔偿甲方由此造成的人力物力损失。</w:t>
      </w:r>
    </w:p>
    <w:p>
      <w:pPr>
        <w:adjustRightInd w:val="0"/>
        <w:snapToGrid w:val="0"/>
        <w:spacing w:line="360" w:lineRule="auto"/>
        <w:ind w:firstLine="422" w:firstLineChars="200"/>
        <w:rPr>
          <w:rFonts w:ascii="宋体" w:hAnsi="Times New Roman" w:eastAsia="宋体" w:cs="宋体"/>
          <w:b/>
          <w:szCs w:val="21"/>
        </w:rPr>
      </w:pPr>
      <w:r>
        <w:rPr>
          <w:rFonts w:hint="eastAsia" w:ascii="宋体" w:hAnsi="Times New Roman" w:eastAsia="宋体" w:cs="宋体"/>
          <w:b/>
          <w:szCs w:val="21"/>
        </w:rPr>
        <w:t>2、在安装以及实际实施过程中，由于乙方原因出现质量问题所造成的一切经济损失由乙方负责，乙方提供的产品应符合甲方规定的规格型号以及技术参数、质量要求。</w:t>
      </w:r>
    </w:p>
    <w:p>
      <w:pPr>
        <w:adjustRightInd w:val="0"/>
        <w:snapToGrid w:val="0"/>
        <w:spacing w:line="360" w:lineRule="auto"/>
        <w:ind w:firstLine="422" w:firstLineChars="200"/>
        <w:rPr>
          <w:rFonts w:ascii="宋体" w:hAnsi="Times New Roman" w:eastAsia="宋体" w:cs="宋体"/>
          <w:szCs w:val="21"/>
        </w:rPr>
      </w:pPr>
      <w:r>
        <w:rPr>
          <w:rFonts w:hint="eastAsia" w:ascii="宋体" w:hAnsi="Times New Roman" w:eastAsia="宋体" w:cs="宋体"/>
          <w:b/>
          <w:szCs w:val="21"/>
        </w:rPr>
        <w:t>3、</w:t>
      </w:r>
      <w:r>
        <w:rPr>
          <w:rFonts w:hint="eastAsia" w:ascii="宋体" w:hAnsi="Times New Roman" w:eastAsia="宋体" w:cs="宋体"/>
          <w:szCs w:val="21"/>
        </w:rPr>
        <w:t>甲方可以自行或委托权威机构对每批次货物进行抽检，如检测结果达不到国家标准以及合同要求，甲方将追究乙方责任，同时检测费用由乙方承担。</w:t>
      </w:r>
    </w:p>
    <w:p>
      <w:pPr>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4、</w:t>
      </w:r>
      <w:r>
        <w:rPr>
          <w:rFonts w:hint="eastAsia" w:ascii="宋体" w:hAnsi="Times New Roman" w:eastAsia="宋体" w:cs="宋体"/>
          <w:b/>
          <w:bCs/>
          <w:szCs w:val="21"/>
        </w:rPr>
        <w:t>质保期：乙方所供货物免费质保期为</w:t>
      </w:r>
      <w:r>
        <w:rPr>
          <w:rFonts w:hint="eastAsia" w:ascii="宋体" w:hAnsi="Times New Roman" w:eastAsia="宋体" w:cs="宋体"/>
          <w:b/>
          <w:bCs/>
          <w:szCs w:val="21"/>
          <w:u w:val="single"/>
        </w:rPr>
        <w:t xml:space="preserve">  </w:t>
      </w:r>
      <w:r>
        <w:rPr>
          <w:rFonts w:hint="eastAsia" w:ascii="宋体" w:hAnsi="Times New Roman" w:eastAsia="宋体" w:cs="宋体"/>
          <w:b/>
          <w:bCs/>
          <w:color w:val="FF0000"/>
          <w:szCs w:val="21"/>
          <w:u w:val="single"/>
        </w:rPr>
        <w:t xml:space="preserve">2  </w:t>
      </w:r>
      <w:r>
        <w:rPr>
          <w:rFonts w:hint="eastAsia" w:ascii="宋体" w:hAnsi="Times New Roman" w:eastAsia="宋体" w:cs="宋体"/>
          <w:b/>
          <w:bCs/>
          <w:szCs w:val="21"/>
        </w:rPr>
        <w:t>年，计算时间以工程项目竣工验收合格之日起算。</w:t>
      </w:r>
      <w:r>
        <w:rPr>
          <w:rFonts w:hint="eastAsia" w:ascii="宋体" w:hAnsi="Times New Roman" w:eastAsia="宋体" w:cs="宋体"/>
          <w:szCs w:val="21"/>
        </w:rPr>
        <w:t>乙方应保证货物在正常使用条件下，在合同规定的质量保证期内，乙方应对产生的货物缺陷及故障负责。</w:t>
      </w:r>
    </w:p>
    <w:p>
      <w:pPr>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5、对质量保证期内出现的质量问题，乙方收到维修通知后,应在投标承诺的1小时内进行免费维修。无法维修或经两次维修仍不能修复的，乙方应该承担更换、退货、减少价款、赔偿经济损失等法律责任。</w:t>
      </w:r>
    </w:p>
    <w:p>
      <w:pPr>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6、在乙方对质量保证期内出现的质量问题进行维修时，如需更换零部件(易损件除外),乙方应相应延长修补或更换部分的质量保证期, 修补或更换部分的质量保证期从修补或更换部分检验合格之日起重新计算。</w:t>
      </w:r>
    </w:p>
    <w:p>
      <w:pPr>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7、乙方不履行或履行不当上述维护义务，经过书面催告后仍不履行的，甲方可扣留质量保证金，并可追究乙方其他违约责任。</w:t>
      </w:r>
    </w:p>
    <w:p>
      <w:pPr>
        <w:adjustRightInd w:val="0"/>
        <w:snapToGrid w:val="0"/>
        <w:spacing w:before="120" w:beforeLines="50" w:after="120" w:afterLines="50" w:line="360" w:lineRule="auto"/>
        <w:rPr>
          <w:rFonts w:ascii="宋体" w:hAnsi="Times New Roman" w:eastAsia="宋体" w:cs="宋体"/>
          <w:b/>
          <w:szCs w:val="21"/>
        </w:rPr>
      </w:pPr>
      <w:r>
        <w:rPr>
          <w:rFonts w:hint="eastAsia" w:ascii="宋体" w:hAnsi="Times New Roman" w:eastAsia="宋体" w:cs="宋体"/>
          <w:b/>
          <w:szCs w:val="21"/>
        </w:rPr>
        <w:t>三、合同价款及支付</w:t>
      </w:r>
    </w:p>
    <w:p>
      <w:pPr>
        <w:tabs>
          <w:tab w:val="left" w:pos="840"/>
        </w:tabs>
        <w:adjustRightInd w:val="0"/>
        <w:snapToGrid w:val="0"/>
        <w:spacing w:line="360" w:lineRule="auto"/>
        <w:ind w:firstLine="420" w:firstLineChars="200"/>
        <w:rPr>
          <w:rFonts w:ascii="宋体" w:hAnsi="Times New Roman" w:eastAsia="宋体" w:cs="宋体"/>
          <w:b/>
          <w:szCs w:val="21"/>
        </w:rPr>
      </w:pPr>
      <w:r>
        <w:rPr>
          <w:rFonts w:hint="eastAsia" w:ascii="宋体" w:hAnsi="Times New Roman" w:eastAsia="宋体" w:cs="宋体"/>
          <w:szCs w:val="21"/>
        </w:rPr>
        <w:t>1、</w:t>
      </w:r>
      <w:r>
        <w:rPr>
          <w:rFonts w:hint="eastAsia" w:ascii="宋体" w:hAnsi="Times New Roman" w:eastAsia="宋体" w:cs="宋体"/>
          <w:b/>
          <w:szCs w:val="21"/>
        </w:rPr>
        <w:t>合同总价：</w:t>
      </w:r>
      <w:r>
        <w:rPr>
          <w:rFonts w:hint="eastAsia" w:ascii="宋体" w:hAnsi="Times New Roman" w:eastAsia="宋体" w:cs="宋体"/>
          <w:b/>
          <w:szCs w:val="21"/>
          <w:u w:val="single"/>
        </w:rPr>
        <w:t>人民币（大写）（￥</w:t>
      </w:r>
      <w:r>
        <w:rPr>
          <w:rFonts w:hint="eastAsia" w:ascii="宋体" w:hAnsi="Times New Roman" w:eastAsia="宋体" w:cs="宋体"/>
          <w:szCs w:val="21"/>
        </w:rPr>
        <w:t>＿＿＿</w:t>
      </w:r>
      <w:r>
        <w:rPr>
          <w:rFonts w:hint="eastAsia" w:ascii="宋体" w:hAnsi="Times New Roman" w:eastAsia="宋体" w:cs="宋体"/>
          <w:b/>
          <w:szCs w:val="21"/>
          <w:u w:val="single"/>
        </w:rPr>
        <w:t>）</w:t>
      </w:r>
      <w:r>
        <w:rPr>
          <w:rFonts w:hint="eastAsia" w:ascii="宋体" w:hAnsi="Times New Roman" w:eastAsia="宋体" w:cs="宋体"/>
          <w:b/>
          <w:szCs w:val="21"/>
        </w:rPr>
        <w:t>。</w:t>
      </w:r>
    </w:p>
    <w:p>
      <w:pPr>
        <w:tabs>
          <w:tab w:val="left" w:pos="840"/>
        </w:tabs>
        <w:adjustRightInd w:val="0"/>
        <w:snapToGrid w:val="0"/>
        <w:spacing w:line="360" w:lineRule="auto"/>
        <w:ind w:firstLine="422" w:firstLineChars="200"/>
        <w:rPr>
          <w:rFonts w:ascii="宋体" w:hAnsi="Times New Roman" w:eastAsia="宋体" w:cs="宋体"/>
          <w:b/>
          <w:szCs w:val="21"/>
          <w:u w:val="single"/>
        </w:rPr>
      </w:pPr>
      <w:r>
        <w:rPr>
          <w:rFonts w:hint="eastAsia" w:ascii="宋体" w:hAnsi="Times New Roman" w:eastAsia="宋体" w:cs="宋体"/>
          <w:b/>
          <w:szCs w:val="21"/>
        </w:rPr>
        <w:t>2、合同款支付方式：</w:t>
      </w:r>
      <w:bookmarkStart w:id="220" w:name="OLE_LINK14"/>
      <w:r>
        <w:rPr>
          <w:rFonts w:hint="eastAsia" w:ascii="宋体" w:hAnsi="Times New Roman" w:eastAsia="宋体" w:cs="宋体"/>
          <w:b/>
          <w:szCs w:val="21"/>
          <w:u w:val="single"/>
        </w:rPr>
        <w:t>供货安装结束且消防验收合格后付结算价款的80%，满一年付结算价款10%，剩余10%质保期满后无质量问题一次性付清（不计息）</w:t>
      </w:r>
      <w:bookmarkEnd w:id="220"/>
      <w:r>
        <w:rPr>
          <w:rFonts w:hint="eastAsia" w:ascii="宋体" w:hAnsi="Times New Roman" w:eastAsia="宋体" w:cs="宋体"/>
          <w:b/>
          <w:szCs w:val="21"/>
          <w:u w:val="single"/>
        </w:rPr>
        <w:t>。以银行承兑汇票或银行电汇方式支付货款。</w:t>
      </w:r>
    </w:p>
    <w:p>
      <w:pPr>
        <w:adjustRightInd w:val="0"/>
        <w:snapToGrid w:val="0"/>
        <w:spacing w:before="120" w:beforeLines="50" w:after="120" w:afterLines="50" w:line="360" w:lineRule="auto"/>
        <w:rPr>
          <w:rFonts w:ascii="宋体" w:hAnsi="Times New Roman" w:eastAsia="宋体" w:cs="宋体"/>
          <w:b/>
          <w:szCs w:val="21"/>
        </w:rPr>
      </w:pPr>
      <w:r>
        <w:rPr>
          <w:rFonts w:hint="eastAsia" w:ascii="宋体" w:hAnsi="Times New Roman" w:eastAsia="宋体" w:cs="宋体"/>
          <w:b/>
          <w:szCs w:val="21"/>
        </w:rPr>
        <w:t>四、供货要求</w:t>
      </w:r>
    </w:p>
    <w:p>
      <w:pPr>
        <w:tabs>
          <w:tab w:val="left" w:pos="-400"/>
        </w:tabs>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1、乙方所供应和安装的产品应完全符合中国的法律、法规、规范、行业标准的要求。上述所有规范中按最高标准执行。</w:t>
      </w:r>
    </w:p>
    <w:p>
      <w:pPr>
        <w:tabs>
          <w:tab w:val="left" w:pos="-400"/>
        </w:tabs>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2、乙方应保证所供产品要求符合招标文件规定的要求。</w:t>
      </w:r>
    </w:p>
    <w:p>
      <w:pPr>
        <w:tabs>
          <w:tab w:val="left" w:pos="-400"/>
        </w:tabs>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3、乙方应保证所供产品是全新的、未使用过的，是用一流的工艺生产的，并完全符合国家、行业对于该类产品的质量标准，并符合国家环保标准。</w:t>
      </w:r>
    </w:p>
    <w:p>
      <w:pPr>
        <w:spacing w:after="120"/>
        <w:ind w:firstLine="420" w:firstLineChars="200"/>
        <w:rPr>
          <w:rFonts w:ascii="Times New Roman" w:hAnsi="Times New Roman" w:eastAsia="宋体" w:cs="Times New Roman"/>
          <w:szCs w:val="21"/>
        </w:rPr>
      </w:pPr>
      <w:r>
        <w:rPr>
          <w:rFonts w:hint="eastAsia" w:ascii="宋体" w:hAnsi="宋体" w:eastAsia="宋体" w:cs="宋体"/>
          <w:szCs w:val="21"/>
        </w:rPr>
        <w:t>4、电缆到货甲方将安排检验，货物检验不合格，甲方有权要求调换，并对乙方处以合同金额*10%的罚金；二次抽检不合格的，甲方有权终止合同，乙方承担对甲方造成的各项损失。</w:t>
      </w:r>
    </w:p>
    <w:p>
      <w:pPr>
        <w:tabs>
          <w:tab w:val="left" w:pos="-400"/>
        </w:tabs>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5、乙方应对本合同项下其承担的全部工作实施有效管理，以确保实施进度符合以下的要求：在合同签定后，根据甲方工程进度要求，分批完成供货、运输交付甲方使用。每批次产品进场前，应提供该批次产品详细清单，以供监理及甲方查验。延误工期，承包人按2000元/天赔偿，并承担相应损失。经催促后仍不能满足甲方进度要求的，甲方有权终止合同。施工期间，安全责任由乙方自行承担，给他人造成损失的，承担赔偿责任。施工期间，必须无条件服从施工现场各方管理人员的管理。工期提前不奖，赶工费不计。</w:t>
      </w:r>
    </w:p>
    <w:p>
      <w:pPr>
        <w:tabs>
          <w:tab w:val="left" w:pos="-400"/>
        </w:tabs>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6、乙方提供的全部产品均应按标准保护措施进行包装，这类包装应适应于远距离运输、防潮、防震、防锈和防野蛮装卸，以确保货物安全无损地运抵指定现场。每一个包装箱内应附一份详细装箱单、制造厂家出具的质量检验证书（合格证）等。</w:t>
      </w:r>
    </w:p>
    <w:p>
      <w:pPr>
        <w:tabs>
          <w:tab w:val="left" w:pos="-400"/>
        </w:tabs>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7、到货地点：甲方指定地点。</w:t>
      </w:r>
    </w:p>
    <w:p>
      <w:pPr>
        <w:tabs>
          <w:tab w:val="left" w:pos="-400"/>
        </w:tabs>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8、在产品进行查验前，乙方应向甲方提供产品的有效的合格证明及其他证明产品符合合同要求的资料。甲方（或其代表）对产品的查验并不减免乙方对设备所应承担的责任，通过查验并不代表产品符合合同规定的要求。</w:t>
      </w:r>
    </w:p>
    <w:p>
      <w:pPr>
        <w:tabs>
          <w:tab w:val="left" w:pos="-400"/>
        </w:tabs>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9、经甲方对乙方提供的产品进行验收，若发现乙方提供的产品不符合合同规定的质量要求，甲方可以拒绝接受该产品，乙方应更换被拒绝的产品，或者免费进行必要的修改以满足规定的要求，甲方也可选择解除合同。甲方拒收产品或者解除合同的，合同标的物毁损、丢失的风险由乙方承担。</w:t>
      </w:r>
    </w:p>
    <w:p>
      <w:pPr>
        <w:tabs>
          <w:tab w:val="left" w:pos="-400"/>
        </w:tabs>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10、如果项目必需但合同又未作规定的需要乙方才能提供的技术文件，乙方也应及时向甲方提供。</w:t>
      </w:r>
    </w:p>
    <w:p>
      <w:pPr>
        <w:adjustRightInd w:val="0"/>
        <w:snapToGrid w:val="0"/>
        <w:spacing w:before="120" w:beforeLines="50" w:after="120" w:afterLines="50" w:line="360" w:lineRule="auto"/>
        <w:rPr>
          <w:rFonts w:ascii="宋体" w:hAnsi="Times New Roman" w:eastAsia="宋体" w:cs="宋体"/>
          <w:b/>
          <w:szCs w:val="21"/>
        </w:rPr>
      </w:pPr>
      <w:r>
        <w:rPr>
          <w:rFonts w:hint="eastAsia" w:ascii="宋体" w:hAnsi="Times New Roman" w:eastAsia="宋体" w:cs="宋体"/>
          <w:b/>
          <w:szCs w:val="21"/>
        </w:rPr>
        <w:t>五、合同价款调整</w:t>
      </w:r>
    </w:p>
    <w:p>
      <w:pPr>
        <w:autoSpaceDE w:val="0"/>
        <w:autoSpaceDN w:val="0"/>
        <w:adjustRightInd w:val="0"/>
        <w:snapToGrid w:val="0"/>
        <w:spacing w:line="360" w:lineRule="auto"/>
        <w:ind w:firstLine="420" w:firstLineChars="200"/>
        <w:jc w:val="left"/>
        <w:rPr>
          <w:rFonts w:ascii="宋体" w:hAnsi="Times New Roman" w:eastAsia="宋体" w:cs="宋体"/>
          <w:b/>
          <w:kern w:val="0"/>
          <w:szCs w:val="21"/>
        </w:rPr>
      </w:pPr>
      <w:r>
        <w:rPr>
          <w:rFonts w:hint="eastAsia" w:ascii="宋体" w:hAnsi="Times New Roman" w:eastAsia="宋体" w:cs="宋体"/>
          <w:szCs w:val="21"/>
        </w:rPr>
        <w:t>1、本合同价格采用固定单价方式。</w:t>
      </w:r>
    </w:p>
    <w:p>
      <w:pPr>
        <w:tabs>
          <w:tab w:val="left" w:pos="-400"/>
        </w:tabs>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2、合同单价包括了承包人在合同中承担的全部义务。承包人被认为已完全理解并确认了综合单价的正确性和充分性，其货物清单中的综合单价不作任何调整。</w:t>
      </w:r>
    </w:p>
    <w:p>
      <w:pPr>
        <w:spacing w:after="120"/>
        <w:ind w:firstLine="420" w:firstLineChars="200"/>
        <w:rPr>
          <w:rFonts w:ascii="宋体" w:hAnsi="宋体" w:eastAsia="宋体" w:cs="宋体"/>
          <w:b/>
          <w:szCs w:val="21"/>
        </w:rPr>
      </w:pPr>
      <w:r>
        <w:rPr>
          <w:rFonts w:hint="eastAsia" w:ascii="宋体" w:hAnsi="Times New Roman" w:eastAsia="宋体" w:cs="宋体"/>
          <w:szCs w:val="21"/>
        </w:rPr>
        <w:t>3、</w:t>
      </w:r>
      <w:r>
        <w:rPr>
          <w:rFonts w:hint="eastAsia" w:ascii="宋体" w:hAnsi="Times New Roman" w:eastAsia="宋体" w:cs="宋体"/>
          <w:b/>
          <w:szCs w:val="21"/>
        </w:rPr>
        <w:t>结算方式：</w:t>
      </w:r>
      <w:r>
        <w:rPr>
          <w:rFonts w:hint="eastAsia" w:ascii="Times New Roman" w:hAnsi="Times New Roman" w:eastAsia="宋体" w:cs="Times New Roman"/>
          <w:b/>
          <w:szCs w:val="20"/>
        </w:rPr>
        <w:t>货款结算</w:t>
      </w:r>
      <w:r>
        <w:rPr>
          <w:rFonts w:hint="eastAsia" w:ascii="宋体" w:hAnsi="宋体" w:eastAsia="宋体" w:cs="宋体"/>
          <w:b/>
          <w:szCs w:val="21"/>
        </w:rPr>
        <w:t>价=实际供货的数量×中标综合单价-税率差额</w:t>
      </w:r>
    </w:p>
    <w:p>
      <w:pPr>
        <w:tabs>
          <w:tab w:val="left" w:pos="-400"/>
        </w:tabs>
        <w:adjustRightInd w:val="0"/>
        <w:snapToGrid w:val="0"/>
        <w:spacing w:line="360" w:lineRule="auto"/>
        <w:ind w:firstLine="422" w:firstLineChars="200"/>
        <w:rPr>
          <w:rFonts w:ascii="宋体" w:hAnsi="Times New Roman" w:eastAsia="宋体" w:cs="宋体"/>
          <w:b/>
          <w:szCs w:val="21"/>
        </w:rPr>
      </w:pPr>
      <w:r>
        <w:rPr>
          <w:rFonts w:hint="eastAsia" w:ascii="宋体" w:hAnsi="宋体" w:eastAsia="宋体" w:cs="宋体"/>
          <w:b/>
          <w:szCs w:val="21"/>
        </w:rPr>
        <w:t>本项目招标人提供的最高投标限价按13%税费计取，投标人中标后需补齐税差并在投标报价中综合考虑；如中标单位开具的是3%税率，需要按实际供货的货款扣除9.8%的税差后为最终结算价；如中标单位开具的是6%税率，需要按实际供货的货款扣除6.8%的税差后为最终结算价；如中标单位开具的是9%税率，需要按实际供货的货款扣除3.8%的税差后为最终结算价。</w:t>
      </w:r>
    </w:p>
    <w:p>
      <w:pPr>
        <w:adjustRightInd w:val="0"/>
        <w:snapToGrid w:val="0"/>
        <w:spacing w:before="120" w:beforeLines="50" w:after="120" w:afterLines="50" w:line="360" w:lineRule="auto"/>
        <w:rPr>
          <w:rFonts w:ascii="宋体" w:hAnsi="Times New Roman" w:eastAsia="宋体" w:cs="宋体"/>
          <w:szCs w:val="21"/>
        </w:rPr>
      </w:pPr>
      <w:r>
        <w:rPr>
          <w:rFonts w:hint="eastAsia" w:ascii="宋体" w:hAnsi="Times New Roman" w:eastAsia="宋体" w:cs="宋体"/>
          <w:b/>
          <w:szCs w:val="21"/>
        </w:rPr>
        <w:t>六、质量索赔</w:t>
      </w:r>
    </w:p>
    <w:p>
      <w:pPr>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1、在质量保证期内或在合同规定的使用寿命内，如果产品的质量与合同要求的内容不符，或证实产品是有缺陷的，包括潜在缺陷或使用不符合要求的材料等，甲方有权根据当地有关部门或甲方委托的专业机构的检验结果或者证明文件向乙方提出索赔。即使质量保证期满，如果甲方发现产品与合同要求明显不符，或违反国家法律、法规或规范的强制性要求，甲方仍有权向乙方提出索赔。</w:t>
      </w:r>
    </w:p>
    <w:p>
      <w:pPr>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2、在质量保证期内，如果甲方对乙方负有的缺陷责任提出索赔，乙方应按照甲方选择的下列一种或多种方式解决索赔事宜：</w:t>
      </w:r>
    </w:p>
    <w:p>
      <w:pPr>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（1）乙方同意退货并用合同规定的货币将合同价款退还给甲方，并承担由此发生的一切损失和费用，包括利息、银行手续费、运费、保险费、检验费、仓储费、装卸费以及为保护退回产品所需的其他必要费用。</w:t>
      </w:r>
    </w:p>
    <w:p>
      <w:pPr>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（2）根据产品低劣程度、损失程度以及甲方所遭受损失的金额，经过买卖双方商定降低产品的价格。</w:t>
      </w:r>
    </w:p>
    <w:p>
      <w:pPr>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（3）乙方应承担退货和调货的一切费用和风险，并负担甲方蒙受的全部损失。同时，乙方应对更换件相应延长质量保证期。</w:t>
      </w:r>
    </w:p>
    <w:p>
      <w:pPr>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3、如果在甲方发出索赔通知后14天内，乙方未作答复，上述索赔应视为已被乙方接受,甲方可从应付货款或从乙方开具的履约担保中扣回索赔金额，不足部分，甲方可向乙方追偿。</w:t>
      </w:r>
    </w:p>
    <w:p>
      <w:pPr>
        <w:adjustRightInd w:val="0"/>
        <w:snapToGrid w:val="0"/>
        <w:spacing w:before="120" w:beforeLines="50" w:after="120" w:afterLines="50" w:line="360" w:lineRule="auto"/>
        <w:rPr>
          <w:rFonts w:ascii="宋体" w:hAnsi="Times New Roman" w:eastAsia="宋体" w:cs="宋体"/>
          <w:szCs w:val="21"/>
        </w:rPr>
      </w:pPr>
      <w:r>
        <w:rPr>
          <w:rFonts w:hint="eastAsia" w:ascii="宋体" w:hAnsi="Times New Roman" w:eastAsia="宋体" w:cs="宋体"/>
          <w:b/>
          <w:szCs w:val="21"/>
        </w:rPr>
        <w:t>七、违约责任</w:t>
      </w:r>
    </w:p>
    <w:p>
      <w:pPr>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1、乙方应按照双方约定时间内完成供货完毕，并通过相关部门的验收。</w:t>
      </w:r>
    </w:p>
    <w:p>
      <w:pPr>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2、乙方应按照合同约定提供技术指导、质量保修等服务，如乙方未能及时提供服务，并在收到甲方的书面警告后不在指定的时间内改正，甲方有权雇用第三方提供服务，并有权从任何应付给乙方的款项中扣除所发生的费用加上5%的违约金，或作为债务从乙方处追回。</w:t>
      </w:r>
    </w:p>
    <w:p>
      <w:pPr>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3、上述供货人的违约情况如给甲方造成的损失超过约定的违约金，甲方有权要求乙方赔偿甲方的全部实际损失。</w:t>
      </w:r>
    </w:p>
    <w:p>
      <w:pPr>
        <w:adjustRightInd w:val="0"/>
        <w:snapToGrid w:val="0"/>
        <w:spacing w:before="120" w:beforeLines="50" w:after="120" w:afterLines="50" w:line="360" w:lineRule="auto"/>
        <w:rPr>
          <w:rFonts w:ascii="宋体" w:hAnsi="Times New Roman" w:eastAsia="宋体" w:cs="宋体"/>
          <w:szCs w:val="21"/>
        </w:rPr>
      </w:pPr>
      <w:r>
        <w:rPr>
          <w:rFonts w:hint="eastAsia" w:ascii="宋体" w:hAnsi="Times New Roman" w:eastAsia="宋体" w:cs="宋体"/>
          <w:b/>
          <w:szCs w:val="21"/>
        </w:rPr>
        <w:t>八、违约终止合同</w:t>
      </w:r>
    </w:p>
    <w:p>
      <w:pPr>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1、在甲方对乙方违约而采取的任何补救措施不受影响的情况下，甲方可在下列情况下向乙方发出书面通知书，提出终止部分或全部合同：</w:t>
      </w:r>
    </w:p>
    <w:p>
      <w:pPr>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（1）乙方拖延交货或拖延提供服务，经甲方书面催告后仍不能在催告规定的时间内交货或提供服务的，甲方可以终止合同；</w:t>
      </w:r>
    </w:p>
    <w:p>
      <w:pPr>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（2）如果乙方未能履行合同规定的其它任何义务，经催告15天内仍未及时履行的；</w:t>
      </w:r>
    </w:p>
    <w:p>
      <w:pPr>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（3）如果甲方认为乙方在本合同的竞争或实施中有腐败和欺诈行为。</w:t>
      </w:r>
    </w:p>
    <w:p>
      <w:pPr>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2、如果乙方破产或丧失清偿能力，甲方可在任何时候以书面形式通知乙方终止合同而不给乙方补偿。该终止合同将不损害或影响甲方已经采取或将要采取任何行动或补救措施的权力。</w:t>
      </w:r>
    </w:p>
    <w:p>
      <w:pPr>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3、如果甲方根据上述第1条的规定，解除了全部或部分合同，甲方可以依其认为适当的条件和方法购买与未交产品相类似的产品，乙方应对购买类似产品所超出的那部分费用负责。且乙方应继续执行合同中未解除的部分。</w:t>
      </w:r>
    </w:p>
    <w:p>
      <w:pPr>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4、甲方拖延支付合同价款超过60天，书面催告后，甲方仍不支付，乙方可以解除本合同。</w:t>
      </w:r>
    </w:p>
    <w:p>
      <w:pPr>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5、因一方违约终止合同的，违约方应支付给守约方相当于合同总金额5％的违约金。合同解除后，乙方应在15天内返还甲方已支付的产品供应款。</w:t>
      </w:r>
    </w:p>
    <w:p>
      <w:pPr>
        <w:adjustRightInd w:val="0"/>
        <w:snapToGrid w:val="0"/>
        <w:spacing w:before="120" w:beforeLines="50" w:after="120" w:afterLines="50" w:line="360" w:lineRule="auto"/>
        <w:rPr>
          <w:rFonts w:ascii="宋体" w:hAnsi="Times New Roman" w:eastAsia="宋体" w:cs="宋体"/>
          <w:b/>
          <w:szCs w:val="21"/>
        </w:rPr>
      </w:pPr>
      <w:r>
        <w:rPr>
          <w:rFonts w:hint="eastAsia" w:ascii="宋体" w:hAnsi="Times New Roman" w:eastAsia="宋体" w:cs="宋体"/>
          <w:b/>
          <w:szCs w:val="21"/>
        </w:rPr>
        <w:t>九、不可抗力</w:t>
      </w:r>
    </w:p>
    <w:p>
      <w:pPr>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甲方与乙方中的任何一方由于不可抗力的原因不能履行合同时，应在事件发生后2天内向对方通报不能履行或不能完全履行的理由；在取得有关主管机关证明以后，允许延期履行、部分履行或者不履行合同，并根据情况可部分或全部免予承担违约责任。本条所述的“不可抗力”指那些不可预见、不可避免、不可克服的事件，包括但不限于：战争、严重火灾、洪水、台风、地震等事件，但不包括乙方的违约或疏忽。</w:t>
      </w:r>
    </w:p>
    <w:p>
      <w:pPr>
        <w:adjustRightInd w:val="0"/>
        <w:snapToGrid w:val="0"/>
        <w:spacing w:before="120" w:beforeLines="50" w:after="120" w:afterLines="50" w:line="360" w:lineRule="auto"/>
        <w:rPr>
          <w:rFonts w:ascii="宋体" w:hAnsi="Times New Roman" w:eastAsia="宋体" w:cs="宋体"/>
          <w:b/>
          <w:bCs/>
          <w:szCs w:val="21"/>
        </w:rPr>
      </w:pPr>
      <w:r>
        <w:rPr>
          <w:rFonts w:hint="eastAsia" w:ascii="宋体" w:hAnsi="Times New Roman" w:eastAsia="宋体" w:cs="宋体"/>
          <w:b/>
          <w:szCs w:val="21"/>
        </w:rPr>
        <w:t>十、转让和分包</w:t>
      </w:r>
    </w:p>
    <w:p>
      <w:pPr>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乙方不得部分转让或全部转让其应履行的合同义务。</w:t>
      </w:r>
    </w:p>
    <w:p>
      <w:pPr>
        <w:adjustRightInd w:val="0"/>
        <w:snapToGrid w:val="0"/>
        <w:spacing w:before="120" w:beforeLines="50" w:after="120" w:afterLines="50" w:line="360" w:lineRule="auto"/>
        <w:rPr>
          <w:rFonts w:ascii="宋体" w:hAnsi="Times New Roman" w:eastAsia="宋体" w:cs="宋体"/>
          <w:b/>
          <w:szCs w:val="21"/>
        </w:rPr>
      </w:pPr>
      <w:r>
        <w:rPr>
          <w:rFonts w:hint="eastAsia" w:ascii="宋体" w:hAnsi="Times New Roman" w:eastAsia="宋体" w:cs="宋体"/>
          <w:b/>
          <w:szCs w:val="21"/>
        </w:rPr>
        <w:t>十一、争议解决</w:t>
      </w:r>
    </w:p>
    <w:p>
      <w:pPr>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甲乙双方应通过友好协商，解决在执行本合同过程中所发生的与本合同有关的一切争端。如协商不成，应向仪征市人民法院提起诉讼。</w:t>
      </w:r>
    </w:p>
    <w:p>
      <w:pPr>
        <w:adjustRightInd w:val="0"/>
        <w:snapToGrid w:val="0"/>
        <w:spacing w:before="120" w:beforeLines="50" w:after="120" w:afterLines="50" w:line="360" w:lineRule="auto"/>
        <w:rPr>
          <w:rFonts w:ascii="宋体" w:hAnsi="Times New Roman" w:eastAsia="宋体" w:cs="宋体"/>
          <w:b/>
          <w:bCs/>
          <w:szCs w:val="21"/>
        </w:rPr>
      </w:pPr>
      <w:r>
        <w:rPr>
          <w:rFonts w:hint="eastAsia" w:ascii="宋体" w:hAnsi="Times New Roman" w:eastAsia="宋体" w:cs="宋体"/>
          <w:b/>
          <w:szCs w:val="21"/>
        </w:rPr>
        <w:t>十二、合同生效及其它</w:t>
      </w:r>
    </w:p>
    <w:p>
      <w:pPr>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1、本合同自双方法定代表人或其合法代理人签署，并加盖单位公章或合同专用章</w:t>
      </w:r>
    </w:p>
    <w:p>
      <w:pPr>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后生效。</w:t>
      </w:r>
    </w:p>
    <w:p>
      <w:pPr>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2、本合同一式</w:t>
      </w:r>
      <w:r>
        <w:rPr>
          <w:rFonts w:hint="eastAsia" w:ascii="宋体" w:hAnsi="Times New Roman" w:eastAsia="宋体" w:cs="宋体"/>
          <w:szCs w:val="21"/>
          <w:u w:val="single"/>
        </w:rPr>
        <w:t>6</w:t>
      </w:r>
      <w:r>
        <w:rPr>
          <w:rFonts w:hint="eastAsia" w:ascii="宋体" w:hAnsi="Times New Roman" w:eastAsia="宋体" w:cs="宋体"/>
          <w:szCs w:val="21"/>
        </w:rPr>
        <w:t>份，双方各执</w:t>
      </w:r>
      <w:r>
        <w:rPr>
          <w:rFonts w:hint="eastAsia" w:ascii="宋体" w:hAnsi="Times New Roman" w:eastAsia="宋体" w:cs="宋体"/>
          <w:szCs w:val="21"/>
          <w:u w:val="single"/>
        </w:rPr>
        <w:t>3</w:t>
      </w:r>
      <w:r>
        <w:rPr>
          <w:rFonts w:hint="eastAsia" w:ascii="宋体" w:hAnsi="Times New Roman" w:eastAsia="宋体" w:cs="宋体"/>
          <w:szCs w:val="21"/>
        </w:rPr>
        <w:t>份。如需修改或补充合同内容，经协商一致，双方应签订补充协议，补充协议与本合同具有同等效力。</w:t>
      </w:r>
    </w:p>
    <w:p>
      <w:pPr>
        <w:spacing w:line="360" w:lineRule="auto"/>
        <w:rPr>
          <w:rFonts w:ascii="宋体" w:hAnsi="Times New Roman" w:eastAsia="宋体" w:cs="宋体"/>
          <w:szCs w:val="21"/>
        </w:rPr>
      </w:pPr>
    </w:p>
    <w:p>
      <w:pPr>
        <w:spacing w:after="120"/>
        <w:rPr>
          <w:rFonts w:ascii="Times New Roman" w:hAnsi="Times New Roman" w:eastAsia="宋体" w:cs="Times New Roman"/>
          <w:szCs w:val="21"/>
        </w:rPr>
      </w:pPr>
    </w:p>
    <w:tbl>
      <w:tblPr>
        <w:tblStyle w:val="23"/>
        <w:tblW w:w="0" w:type="auto"/>
        <w:tblInd w:w="135" w:type="dxa"/>
        <w:tblLayout w:type="fixed"/>
        <w:tblCellMar>
          <w:top w:w="0" w:type="dxa"/>
          <w:left w:w="108" w:type="dxa"/>
          <w:bottom w:w="0" w:type="dxa"/>
          <w:right w:w="108" w:type="dxa"/>
        </w:tblCellMar>
      </w:tblPr>
      <w:tblGrid>
        <w:gridCol w:w="4284"/>
        <w:gridCol w:w="4238"/>
      </w:tblGrid>
      <w:tr>
        <w:tblPrEx>
          <w:tblCellMar>
            <w:top w:w="0" w:type="dxa"/>
            <w:left w:w="108" w:type="dxa"/>
            <w:bottom w:w="0" w:type="dxa"/>
            <w:right w:w="108" w:type="dxa"/>
          </w:tblCellMar>
        </w:tblPrEx>
        <w:tc>
          <w:tcPr>
            <w:tcW w:w="4284" w:type="dxa"/>
            <w:tcBorders>
              <w:top w:val="nil"/>
              <w:left w:val="nil"/>
              <w:bottom w:val="nil"/>
              <w:right w:val="nil"/>
            </w:tcBorders>
          </w:tcPr>
          <w:p>
            <w:pPr>
              <w:snapToGrid w:val="0"/>
              <w:spacing w:before="120" w:after="120" w:line="360" w:lineRule="auto"/>
              <w:rPr>
                <w:rFonts w:ascii="宋体" w:hAnsi="宋体" w:eastAsia="宋体" w:cs="Times New Roman"/>
                <w:szCs w:val="21"/>
              </w:rPr>
            </w:pPr>
            <w:r>
              <w:rPr>
                <w:rFonts w:hint="eastAsia" w:ascii="宋体" w:hAnsi="宋体" w:eastAsia="宋体" w:cs="Times New Roman"/>
                <w:szCs w:val="21"/>
              </w:rPr>
              <w:t>甲方（盖章）：</w:t>
            </w:r>
          </w:p>
        </w:tc>
        <w:tc>
          <w:tcPr>
            <w:tcW w:w="4238" w:type="dxa"/>
            <w:tcBorders>
              <w:top w:val="nil"/>
              <w:left w:val="nil"/>
              <w:bottom w:val="nil"/>
              <w:right w:val="nil"/>
            </w:tcBorders>
          </w:tcPr>
          <w:p>
            <w:pPr>
              <w:snapToGrid w:val="0"/>
              <w:spacing w:before="120" w:after="120" w:line="360" w:lineRule="auto"/>
              <w:rPr>
                <w:rFonts w:ascii="宋体" w:hAnsi="宋体" w:eastAsia="宋体" w:cs="Times New Roman"/>
                <w:szCs w:val="21"/>
              </w:rPr>
            </w:pPr>
            <w:r>
              <w:rPr>
                <w:rFonts w:hint="eastAsia" w:ascii="宋体" w:hAnsi="宋体" w:eastAsia="宋体" w:cs="Times New Roman"/>
                <w:szCs w:val="21"/>
              </w:rPr>
              <w:t xml:space="preserve">乙方（盖章）： </w:t>
            </w:r>
          </w:p>
        </w:tc>
      </w:tr>
      <w:tr>
        <w:tblPrEx>
          <w:tblCellMar>
            <w:top w:w="0" w:type="dxa"/>
            <w:left w:w="108" w:type="dxa"/>
            <w:bottom w:w="0" w:type="dxa"/>
            <w:right w:w="108" w:type="dxa"/>
          </w:tblCellMar>
        </w:tblPrEx>
        <w:tc>
          <w:tcPr>
            <w:tcW w:w="4284" w:type="dxa"/>
            <w:tcBorders>
              <w:top w:val="nil"/>
              <w:left w:val="nil"/>
              <w:bottom w:val="nil"/>
              <w:right w:val="nil"/>
            </w:tcBorders>
          </w:tcPr>
          <w:p>
            <w:pPr>
              <w:snapToGrid w:val="0"/>
              <w:spacing w:before="120" w:after="120" w:line="360" w:lineRule="auto"/>
              <w:rPr>
                <w:rFonts w:ascii="宋体" w:hAnsi="宋体" w:eastAsia="宋体" w:cs="Times New Roman"/>
                <w:szCs w:val="21"/>
              </w:rPr>
            </w:pPr>
            <w:r>
              <w:rPr>
                <w:rFonts w:hint="eastAsia" w:ascii="宋体" w:hAnsi="宋体" w:eastAsia="宋体" w:cs="Times New Roman"/>
                <w:szCs w:val="21"/>
              </w:rPr>
              <w:t>地址：</w:t>
            </w:r>
            <w:r>
              <w:rPr>
                <w:rFonts w:ascii="宋体" w:hAnsi="宋体" w:eastAsia="宋体" w:cs="Times New Roman"/>
                <w:szCs w:val="21"/>
              </w:rPr>
              <w:t xml:space="preserve"> </w:t>
            </w:r>
          </w:p>
        </w:tc>
        <w:tc>
          <w:tcPr>
            <w:tcW w:w="4238" w:type="dxa"/>
            <w:tcBorders>
              <w:top w:val="nil"/>
              <w:left w:val="nil"/>
              <w:bottom w:val="nil"/>
              <w:right w:val="nil"/>
            </w:tcBorders>
          </w:tcPr>
          <w:p>
            <w:pPr>
              <w:snapToGrid w:val="0"/>
              <w:spacing w:before="120" w:after="120" w:line="360" w:lineRule="auto"/>
              <w:rPr>
                <w:rFonts w:ascii="宋体" w:hAnsi="宋体" w:eastAsia="宋体" w:cs="Times New Roman"/>
                <w:szCs w:val="21"/>
              </w:rPr>
            </w:pPr>
            <w:r>
              <w:rPr>
                <w:rFonts w:hint="eastAsia" w:ascii="宋体" w:hAnsi="宋体" w:eastAsia="宋体" w:cs="Times New Roman"/>
                <w:szCs w:val="21"/>
              </w:rPr>
              <w:t xml:space="preserve">地址： </w:t>
            </w:r>
          </w:p>
        </w:tc>
      </w:tr>
      <w:tr>
        <w:tblPrEx>
          <w:tblCellMar>
            <w:top w:w="0" w:type="dxa"/>
            <w:left w:w="108" w:type="dxa"/>
            <w:bottom w:w="0" w:type="dxa"/>
            <w:right w:w="108" w:type="dxa"/>
          </w:tblCellMar>
        </w:tblPrEx>
        <w:tc>
          <w:tcPr>
            <w:tcW w:w="4284" w:type="dxa"/>
            <w:tcBorders>
              <w:top w:val="nil"/>
              <w:left w:val="nil"/>
              <w:bottom w:val="nil"/>
              <w:right w:val="nil"/>
            </w:tcBorders>
          </w:tcPr>
          <w:p>
            <w:pPr>
              <w:snapToGrid w:val="0"/>
              <w:spacing w:before="120" w:after="120" w:line="360" w:lineRule="auto"/>
              <w:rPr>
                <w:rFonts w:ascii="宋体" w:hAnsi="宋体" w:eastAsia="宋体" w:cs="Times New Roman"/>
                <w:szCs w:val="21"/>
              </w:rPr>
            </w:pPr>
            <w:r>
              <w:rPr>
                <w:rFonts w:hint="eastAsia" w:ascii="宋体" w:hAnsi="宋体" w:eastAsia="宋体" w:cs="Times New Roman"/>
                <w:szCs w:val="21"/>
              </w:rPr>
              <w:t>法定代表人或授权代表（签字或盖章）：</w:t>
            </w:r>
          </w:p>
        </w:tc>
        <w:tc>
          <w:tcPr>
            <w:tcW w:w="4238" w:type="dxa"/>
            <w:tcBorders>
              <w:top w:val="nil"/>
              <w:left w:val="nil"/>
              <w:bottom w:val="nil"/>
              <w:right w:val="nil"/>
            </w:tcBorders>
          </w:tcPr>
          <w:p>
            <w:pPr>
              <w:snapToGrid w:val="0"/>
              <w:spacing w:before="120" w:after="120" w:line="360" w:lineRule="auto"/>
              <w:rPr>
                <w:rFonts w:ascii="宋体" w:hAnsi="宋体" w:eastAsia="宋体" w:cs="Times New Roman"/>
                <w:szCs w:val="21"/>
              </w:rPr>
            </w:pPr>
            <w:r>
              <w:rPr>
                <w:rFonts w:hint="eastAsia" w:ascii="宋体" w:hAnsi="宋体" w:eastAsia="宋体" w:cs="Times New Roman"/>
                <w:szCs w:val="21"/>
              </w:rPr>
              <w:t>法定代表人或授权代表（签字或盖章）：</w:t>
            </w:r>
          </w:p>
        </w:tc>
      </w:tr>
      <w:tr>
        <w:tblPrEx>
          <w:tblCellMar>
            <w:top w:w="0" w:type="dxa"/>
            <w:left w:w="108" w:type="dxa"/>
            <w:bottom w:w="0" w:type="dxa"/>
            <w:right w:w="108" w:type="dxa"/>
          </w:tblCellMar>
        </w:tblPrEx>
        <w:tc>
          <w:tcPr>
            <w:tcW w:w="4284" w:type="dxa"/>
            <w:tcBorders>
              <w:top w:val="nil"/>
              <w:left w:val="nil"/>
              <w:bottom w:val="nil"/>
              <w:right w:val="nil"/>
            </w:tcBorders>
          </w:tcPr>
          <w:p>
            <w:pPr>
              <w:snapToGrid w:val="0"/>
              <w:spacing w:before="120" w:after="120" w:line="360" w:lineRule="auto"/>
              <w:rPr>
                <w:rFonts w:ascii="宋体" w:hAnsi="宋体" w:eastAsia="宋体" w:cs="Times New Roman"/>
                <w:szCs w:val="21"/>
              </w:rPr>
            </w:pPr>
            <w:r>
              <w:rPr>
                <w:rFonts w:hint="eastAsia" w:ascii="宋体" w:hAnsi="宋体" w:eastAsia="宋体" w:cs="Times New Roman"/>
                <w:szCs w:val="21"/>
              </w:rPr>
              <w:t>联系电话：</w:t>
            </w:r>
          </w:p>
        </w:tc>
        <w:tc>
          <w:tcPr>
            <w:tcW w:w="4238" w:type="dxa"/>
            <w:tcBorders>
              <w:top w:val="nil"/>
              <w:left w:val="nil"/>
              <w:bottom w:val="nil"/>
              <w:right w:val="nil"/>
            </w:tcBorders>
          </w:tcPr>
          <w:p>
            <w:pPr>
              <w:snapToGrid w:val="0"/>
              <w:spacing w:before="120" w:after="120" w:line="360" w:lineRule="auto"/>
              <w:rPr>
                <w:rFonts w:ascii="宋体" w:hAnsi="宋体" w:eastAsia="宋体" w:cs="Times New Roman"/>
                <w:szCs w:val="21"/>
              </w:rPr>
            </w:pPr>
            <w:r>
              <w:rPr>
                <w:rFonts w:hint="eastAsia" w:ascii="宋体" w:hAnsi="宋体" w:eastAsia="宋体" w:cs="Times New Roman"/>
                <w:szCs w:val="21"/>
              </w:rPr>
              <w:t>联系电话：</w:t>
            </w:r>
          </w:p>
        </w:tc>
      </w:tr>
      <w:tr>
        <w:tblPrEx>
          <w:tblCellMar>
            <w:top w:w="0" w:type="dxa"/>
            <w:left w:w="108" w:type="dxa"/>
            <w:bottom w:w="0" w:type="dxa"/>
            <w:right w:w="108" w:type="dxa"/>
          </w:tblCellMar>
        </w:tblPrEx>
        <w:tc>
          <w:tcPr>
            <w:tcW w:w="4284" w:type="dxa"/>
            <w:tcBorders>
              <w:top w:val="nil"/>
              <w:left w:val="nil"/>
              <w:bottom w:val="nil"/>
              <w:right w:val="nil"/>
            </w:tcBorders>
          </w:tcPr>
          <w:p>
            <w:pPr>
              <w:snapToGrid w:val="0"/>
              <w:spacing w:before="120" w:after="120" w:line="360" w:lineRule="auto"/>
              <w:rPr>
                <w:rFonts w:ascii="宋体" w:hAnsi="宋体" w:eastAsia="宋体" w:cs="Times New Roman"/>
                <w:szCs w:val="21"/>
              </w:rPr>
            </w:pPr>
            <w:r>
              <w:rPr>
                <w:rFonts w:hint="eastAsia" w:ascii="宋体" w:hAnsi="宋体" w:eastAsia="宋体" w:cs="Times New Roman"/>
                <w:szCs w:val="21"/>
              </w:rPr>
              <w:t xml:space="preserve">日期：      年    月    日  </w:t>
            </w:r>
          </w:p>
        </w:tc>
        <w:tc>
          <w:tcPr>
            <w:tcW w:w="4238" w:type="dxa"/>
            <w:tcBorders>
              <w:top w:val="nil"/>
              <w:left w:val="nil"/>
              <w:bottom w:val="nil"/>
              <w:right w:val="nil"/>
            </w:tcBorders>
          </w:tcPr>
          <w:p>
            <w:pPr>
              <w:snapToGrid w:val="0"/>
              <w:spacing w:before="120" w:after="120" w:line="360" w:lineRule="auto"/>
              <w:rPr>
                <w:rFonts w:ascii="宋体" w:hAnsi="宋体" w:eastAsia="宋体" w:cs="Times New Roman"/>
                <w:szCs w:val="21"/>
              </w:rPr>
            </w:pPr>
            <w:r>
              <w:rPr>
                <w:rFonts w:hint="eastAsia" w:ascii="宋体" w:hAnsi="宋体" w:eastAsia="宋体" w:cs="Times New Roman"/>
                <w:szCs w:val="21"/>
              </w:rPr>
              <w:t>日期：      年    月    日</w:t>
            </w:r>
          </w:p>
        </w:tc>
      </w:tr>
    </w:tbl>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spacing w:after="120"/>
        <w:rPr>
          <w:rFonts w:ascii="Times New Roman" w:hAnsi="Times New Roman" w:eastAsia="宋体" w:cs="Times New Roman"/>
          <w:b/>
          <w:sz w:val="32"/>
          <w:szCs w:val="32"/>
        </w:rPr>
        <w:sectPr>
          <w:footerReference r:id="rId10" w:type="default"/>
          <w:footerReference r:id="rId11" w:type="even"/>
          <w:pgSz w:w="11906" w:h="16838"/>
          <w:pgMar w:top="1418" w:right="1021" w:bottom="1134" w:left="1701" w:header="851" w:footer="624" w:gutter="0"/>
          <w:cols w:space="720" w:num="1"/>
          <w:docGrid w:linePitch="312" w:charSpace="0"/>
        </w:sectPr>
      </w:pPr>
    </w:p>
    <w:p>
      <w:pPr>
        <w:spacing w:after="120"/>
        <w:rPr>
          <w:rFonts w:ascii="Times New Roman" w:hAnsi="Times New Roman" w:eastAsia="宋体" w:cs="Times New Roman"/>
          <w:b/>
          <w:sz w:val="32"/>
          <w:szCs w:val="32"/>
        </w:rPr>
      </w:pPr>
    </w:p>
    <w:p>
      <w:pPr>
        <w:spacing w:after="120"/>
        <w:jc w:val="center"/>
        <w:rPr>
          <w:rFonts w:ascii="Times New Roman" w:hAnsi="Times New Roman" w:eastAsia="宋体" w:cs="Times New Roman"/>
          <w:szCs w:val="20"/>
        </w:rPr>
      </w:pPr>
      <w:r>
        <w:rPr>
          <w:rFonts w:hint="eastAsia" w:ascii="Times New Roman" w:hAnsi="Times New Roman" w:eastAsia="宋体" w:cs="Times New Roman"/>
          <w:b/>
          <w:sz w:val="32"/>
          <w:szCs w:val="32"/>
        </w:rPr>
        <w:t>第五章项目需求</w:t>
      </w:r>
    </w:p>
    <w:p>
      <w:pPr>
        <w:spacing w:after="120"/>
        <w:rPr>
          <w:rFonts w:ascii="Times New Roman" w:hAnsi="Times New Roman" w:eastAsia="宋体" w:cs="Times New Roman"/>
          <w:szCs w:val="20"/>
        </w:rPr>
      </w:pPr>
      <w:r>
        <w:rPr>
          <w:rFonts w:ascii="Times New Roman" w:hAnsi="Times New Roman" w:eastAsia="宋体" w:cs="Times New Roman"/>
          <w:szCs w:val="20"/>
        </w:rPr>
        <w:t>一、技术参数要求</w:t>
      </w:r>
    </w:p>
    <w:tbl>
      <w:tblPr>
        <w:tblStyle w:val="23"/>
        <w:tblW w:w="11021" w:type="dxa"/>
        <w:jc w:val="center"/>
        <w:tblLayout w:type="fixed"/>
        <w:tblCellMar>
          <w:top w:w="0" w:type="dxa"/>
          <w:left w:w="108" w:type="dxa"/>
          <w:bottom w:w="0" w:type="dxa"/>
          <w:right w:w="108" w:type="dxa"/>
        </w:tblCellMar>
      </w:tblPr>
      <w:tblGrid>
        <w:gridCol w:w="441"/>
        <w:gridCol w:w="627"/>
        <w:gridCol w:w="1164"/>
        <w:gridCol w:w="1129"/>
        <w:gridCol w:w="767"/>
        <w:gridCol w:w="763"/>
        <w:gridCol w:w="687"/>
        <w:gridCol w:w="794"/>
        <w:gridCol w:w="962"/>
        <w:gridCol w:w="702"/>
        <w:gridCol w:w="1196"/>
        <w:gridCol w:w="938"/>
        <w:gridCol w:w="851"/>
      </w:tblGrid>
      <w:tr>
        <w:tblPrEx>
          <w:tblCellMar>
            <w:top w:w="0" w:type="dxa"/>
            <w:left w:w="108" w:type="dxa"/>
            <w:bottom w:w="0" w:type="dxa"/>
            <w:right w:w="108" w:type="dxa"/>
          </w:tblCellMar>
        </w:tblPrEx>
        <w:trPr>
          <w:trHeight w:val="727" w:hRule="atLeast"/>
          <w:jc w:val="center"/>
        </w:trPr>
        <w:tc>
          <w:tcPr>
            <w:tcW w:w="4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bookmarkStart w:id="221" w:name="_Hlk200048978"/>
            <w:r>
              <w:rPr>
                <w:rFonts w:hint="eastAsia" w:ascii="仿宋" w:hAnsi="仿宋" w:eastAsia="仿宋" w:cs="仿宋"/>
                <w:color w:val="000000"/>
                <w:kern w:val="0"/>
                <w:sz w:val="20"/>
                <w:szCs w:val="20"/>
                <w:lang w:bidi="ar"/>
              </w:rPr>
              <w:t>序号</w:t>
            </w:r>
          </w:p>
        </w:tc>
        <w:tc>
          <w:tcPr>
            <w:tcW w:w="627"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w:t>
            </w:r>
          </w:p>
        </w:tc>
        <w:tc>
          <w:tcPr>
            <w:tcW w:w="1164"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类型</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EE0000"/>
                <w:sz w:val="20"/>
                <w:szCs w:val="20"/>
              </w:rPr>
            </w:pPr>
            <w:r>
              <w:rPr>
                <w:rFonts w:hint="eastAsia" w:ascii="仿宋" w:hAnsi="仿宋" w:eastAsia="仿宋" w:cs="仿宋"/>
                <w:color w:val="EE0000"/>
                <w:kern w:val="0"/>
                <w:sz w:val="20"/>
                <w:szCs w:val="20"/>
                <w:lang w:bidi="ar"/>
              </w:rPr>
              <w:t>规格型号</w:t>
            </w:r>
          </w:p>
        </w:tc>
        <w:tc>
          <w:tcPr>
            <w:tcW w:w="767" w:type="dxa"/>
            <w:tcBorders>
              <w:top w:val="single" w:color="000000" w:sz="4" w:space="0"/>
              <w:left w:val="nil"/>
              <w:bottom w:val="nil"/>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洞口尺寸</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宽（m）</w:t>
            </w:r>
          </w:p>
        </w:tc>
        <w:tc>
          <w:tcPr>
            <w:tcW w:w="763" w:type="dxa"/>
            <w:tcBorders>
              <w:top w:val="single" w:color="000000" w:sz="4" w:space="0"/>
              <w:left w:val="nil"/>
              <w:bottom w:val="nil"/>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洞口尺寸</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高（m）</w:t>
            </w:r>
          </w:p>
        </w:tc>
        <w:tc>
          <w:tcPr>
            <w:tcW w:w="6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开启</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方式</w:t>
            </w:r>
          </w:p>
        </w:tc>
        <w:tc>
          <w:tcPr>
            <w:tcW w:w="794"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小计</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（樘）</w:t>
            </w:r>
          </w:p>
        </w:tc>
        <w:tc>
          <w:tcPr>
            <w:tcW w:w="962"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面积（㎡）</w:t>
            </w:r>
          </w:p>
        </w:tc>
        <w:tc>
          <w:tcPr>
            <w:tcW w:w="70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材质</w:t>
            </w:r>
          </w:p>
        </w:tc>
        <w:tc>
          <w:tcPr>
            <w:tcW w:w="119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最高限单</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价（元/㎡）含13%税</w:t>
            </w:r>
          </w:p>
        </w:tc>
        <w:tc>
          <w:tcPr>
            <w:tcW w:w="9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最高限小计</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（元）</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备注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2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1#楼</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甲级防火门</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EE0000"/>
                <w:sz w:val="20"/>
                <w:szCs w:val="20"/>
              </w:rPr>
            </w:pPr>
            <w:bookmarkStart w:id="222" w:name="OLE_LINK16"/>
            <w:r>
              <w:rPr>
                <w:rFonts w:hint="eastAsia" w:ascii="仿宋" w:hAnsi="仿宋" w:eastAsia="仿宋" w:cs="仿宋"/>
                <w:color w:val="EE0000"/>
                <w:kern w:val="0"/>
                <w:sz w:val="20"/>
                <w:szCs w:val="20"/>
                <w:lang w:bidi="ar"/>
              </w:rPr>
              <w:t>JFM1222</w:t>
            </w:r>
            <w:bookmarkEnd w:id="222"/>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1.2</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2.2</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5.28</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360</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1900.80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甲级防火门</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EE0000"/>
                <w:sz w:val="20"/>
                <w:szCs w:val="20"/>
              </w:rPr>
            </w:pPr>
            <w:r>
              <w:rPr>
                <w:rFonts w:hint="eastAsia" w:ascii="仿宋" w:hAnsi="仿宋" w:eastAsia="仿宋" w:cs="仿宋"/>
                <w:color w:val="EE0000"/>
                <w:kern w:val="0"/>
                <w:sz w:val="20"/>
                <w:szCs w:val="20"/>
                <w:lang w:bidi="ar"/>
              </w:rPr>
              <w:t>JFM1022n</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2.2</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4.4</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360</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1584.00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甲级防火门</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EE0000"/>
                <w:sz w:val="20"/>
                <w:szCs w:val="20"/>
              </w:rPr>
            </w:pPr>
            <w:r>
              <w:rPr>
                <w:rFonts w:hint="eastAsia" w:ascii="仿宋" w:hAnsi="仿宋" w:eastAsia="仿宋" w:cs="仿宋"/>
                <w:color w:val="EE0000"/>
                <w:kern w:val="0"/>
                <w:sz w:val="20"/>
                <w:szCs w:val="20"/>
                <w:lang w:bidi="ar"/>
              </w:rPr>
              <w:t>JFM1022s</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2.2</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4.4</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360</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1584.00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甲级防火门</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EE0000"/>
                <w:sz w:val="20"/>
                <w:szCs w:val="20"/>
              </w:rPr>
            </w:pPr>
            <w:r>
              <w:rPr>
                <w:rFonts w:hint="eastAsia" w:ascii="仿宋" w:hAnsi="仿宋" w:eastAsia="仿宋" w:cs="仿宋"/>
                <w:color w:val="EE0000"/>
                <w:kern w:val="0"/>
                <w:sz w:val="20"/>
                <w:szCs w:val="20"/>
                <w:lang w:bidi="ar"/>
              </w:rPr>
              <w:t>JFM0922n</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0.9</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2.2</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1.98</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360</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712.80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甲级防火门</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EE0000"/>
                <w:sz w:val="20"/>
                <w:szCs w:val="20"/>
              </w:rPr>
            </w:pPr>
            <w:r>
              <w:rPr>
                <w:rFonts w:hint="eastAsia" w:ascii="仿宋" w:hAnsi="仿宋" w:eastAsia="仿宋" w:cs="仿宋"/>
                <w:color w:val="EE0000"/>
                <w:kern w:val="0"/>
                <w:sz w:val="20"/>
                <w:szCs w:val="20"/>
                <w:lang w:bidi="ar"/>
              </w:rPr>
              <w:t>JFM0922s</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0.9</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2.2</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1.98</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360</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712.80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乙级防火门</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YFM1123n</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1.1</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2.3</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16</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40.48</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360</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14572.80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乙级防火门</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YFM1123s</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1.1</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2.3</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16</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40.48</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360</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14572.80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乙级防火门</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YFM1022n</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2.2</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17</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37.4</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360</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13464.00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9</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乙级防火门</w:t>
            </w:r>
          </w:p>
        </w:tc>
        <w:tc>
          <w:tcPr>
            <w:tcW w:w="1129"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YFM1022s</w:t>
            </w:r>
          </w:p>
        </w:tc>
        <w:tc>
          <w:tcPr>
            <w:tcW w:w="767"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763"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2.2</w:t>
            </w:r>
          </w:p>
        </w:tc>
        <w:tc>
          <w:tcPr>
            <w:tcW w:w="687"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15</w:t>
            </w:r>
          </w:p>
        </w:tc>
        <w:tc>
          <w:tcPr>
            <w:tcW w:w="962"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33</w:t>
            </w:r>
          </w:p>
        </w:tc>
        <w:tc>
          <w:tcPr>
            <w:tcW w:w="702"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360</w:t>
            </w:r>
          </w:p>
        </w:tc>
        <w:tc>
          <w:tcPr>
            <w:tcW w:w="938"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11880.00 </w:t>
            </w:r>
          </w:p>
        </w:tc>
        <w:tc>
          <w:tcPr>
            <w:tcW w:w="851"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27"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仿宋" w:hAnsi="仿宋" w:eastAsia="仿宋" w:cs="仿宋"/>
                <w:color w:val="000000"/>
                <w:sz w:val="20"/>
                <w:szCs w:val="20"/>
              </w:rPr>
            </w:pPr>
          </w:p>
        </w:tc>
        <w:tc>
          <w:tcPr>
            <w:tcW w:w="11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乙级防火窗</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YFC0912</w:t>
            </w:r>
          </w:p>
        </w:tc>
        <w:tc>
          <w:tcPr>
            <w:tcW w:w="7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0.9</w:t>
            </w:r>
          </w:p>
        </w:tc>
        <w:tc>
          <w:tcPr>
            <w:tcW w:w="7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1.25</w:t>
            </w:r>
          </w:p>
        </w:tc>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固定式</w:t>
            </w:r>
          </w:p>
        </w:tc>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9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2.25</w:t>
            </w:r>
          </w:p>
        </w:tc>
        <w:tc>
          <w:tcPr>
            <w:tcW w:w="7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360</w:t>
            </w:r>
          </w:p>
        </w:tc>
        <w:tc>
          <w:tcPr>
            <w:tcW w:w="93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810.00 </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楼栋防火窗</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11</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丙级防火门</w:t>
            </w:r>
          </w:p>
        </w:tc>
        <w:tc>
          <w:tcPr>
            <w:tcW w:w="1129"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BFM0821n</w:t>
            </w:r>
          </w:p>
        </w:tc>
        <w:tc>
          <w:tcPr>
            <w:tcW w:w="767"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0.8</w:t>
            </w:r>
          </w:p>
        </w:tc>
        <w:tc>
          <w:tcPr>
            <w:tcW w:w="763"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2.1</w:t>
            </w:r>
          </w:p>
        </w:tc>
        <w:tc>
          <w:tcPr>
            <w:tcW w:w="687"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962"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1.68</w:t>
            </w:r>
          </w:p>
        </w:tc>
        <w:tc>
          <w:tcPr>
            <w:tcW w:w="702"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360</w:t>
            </w:r>
          </w:p>
        </w:tc>
        <w:tc>
          <w:tcPr>
            <w:tcW w:w="938"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604.80 </w:t>
            </w:r>
          </w:p>
        </w:tc>
        <w:tc>
          <w:tcPr>
            <w:tcW w:w="851"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12</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丙级防火门</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BFM0821s</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0.8</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2.1</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1.68</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360</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604.80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13</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丙级防火门</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BFM0621s</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0.6</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2.1</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14</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17.64</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360</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6350.40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14</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丙级防火门</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BFM0621n</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0.6</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2.1</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14</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17.64</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360</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6350.40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15</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丙级防火门</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BFM0721s</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0.7</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2.1</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11.76</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360</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4233.60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16</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丙级防火门</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BFM0721n</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0.7</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2.1</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11.76</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360</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4233.60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17</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丙级防火门</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BFM0609s</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0.6</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0.9</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1.62</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360</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583.20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18</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丙级防火门</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BFM0609n</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0.6</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0.9</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1.62</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360</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583.20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26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0"/>
                <w:szCs w:val="20"/>
              </w:rPr>
            </w:pP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4510" w:type="dxa"/>
            <w:gridSpan w:val="5"/>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小计</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b/>
                <w:bCs/>
                <w:color w:val="000000"/>
                <w:sz w:val="20"/>
                <w:szCs w:val="20"/>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237.05</w:t>
            </w:r>
          </w:p>
        </w:tc>
        <w:tc>
          <w:tcPr>
            <w:tcW w:w="70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b/>
                <w:bCs/>
                <w:color w:val="000000"/>
                <w:sz w:val="20"/>
                <w:szCs w:val="20"/>
              </w:rPr>
            </w:pPr>
          </w:p>
        </w:tc>
        <w:tc>
          <w:tcPr>
            <w:tcW w:w="119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 xml:space="preserve">85338.00 </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2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2#楼</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甲级防火门</w:t>
            </w:r>
          </w:p>
        </w:tc>
        <w:tc>
          <w:tcPr>
            <w:tcW w:w="11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JFM1022n</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2.2</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4.4</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360</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1584.00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甲级防火门</w:t>
            </w:r>
          </w:p>
        </w:tc>
        <w:tc>
          <w:tcPr>
            <w:tcW w:w="11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JFM1022s</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2.2</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4.4</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360</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1584.00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甲级防火门</w:t>
            </w:r>
          </w:p>
        </w:tc>
        <w:tc>
          <w:tcPr>
            <w:tcW w:w="11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JFM1522</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1.5</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2.2</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3.3</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360</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1188.00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甲级防火门</w:t>
            </w:r>
          </w:p>
        </w:tc>
        <w:tc>
          <w:tcPr>
            <w:tcW w:w="11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JFM0922n</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0.9</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2.2</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1.98</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360</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712.80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甲级防火门</w:t>
            </w:r>
          </w:p>
        </w:tc>
        <w:tc>
          <w:tcPr>
            <w:tcW w:w="11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JFM0922s</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0.9</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2.2</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1.98</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360</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712.80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乙级防火门</w:t>
            </w:r>
          </w:p>
        </w:tc>
        <w:tc>
          <w:tcPr>
            <w:tcW w:w="11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YFM1123n</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1.1</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2.3</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16</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40.48</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360</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14572.80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乙级防火门</w:t>
            </w:r>
          </w:p>
        </w:tc>
        <w:tc>
          <w:tcPr>
            <w:tcW w:w="11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YFM1123s</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1.1</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2.3</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16</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40.48</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360</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14572.80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乙级防火门</w:t>
            </w:r>
          </w:p>
        </w:tc>
        <w:tc>
          <w:tcPr>
            <w:tcW w:w="11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YFM1022n</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2.2</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16</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35.2</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360</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12672.00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9</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乙级防火门</w:t>
            </w:r>
          </w:p>
        </w:tc>
        <w:tc>
          <w:tcPr>
            <w:tcW w:w="11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YFM1022s</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2.2</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16</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35.2</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360</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12672.00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丙级防火门</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BFM0821n</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0.8</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2.1</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1.68</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360</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604.80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11</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丙级防火门</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BFM0821s</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0.8</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2.1</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1.68</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360</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604.80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12</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丙级防火门</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BFM0621s</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0.6</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2.1</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14</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17.64</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360</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6350.40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13</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丙级防火门</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BFM0621n</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0.6</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2.1</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14</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17.64</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360</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6350.40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14</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丙级防火门</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BFM0721s</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0.7</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2.1</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11.76</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360</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4233.60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15</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丙级防火门</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BFM0721n</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0.7</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2.1</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11.76</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360</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4233.60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16</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丙级防火门</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BFM0609s</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0.6</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0.9</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1.62</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360</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583.20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17</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丙级防火门</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BFM0609n</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0.6</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0.9</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1.62</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360</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583.20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26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0"/>
                <w:szCs w:val="20"/>
              </w:rPr>
            </w:pP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896"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小计</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b/>
                <w:bCs/>
                <w:color w:val="000000"/>
                <w:sz w:val="20"/>
                <w:szCs w:val="20"/>
              </w:rPr>
            </w:pPr>
          </w:p>
        </w:tc>
        <w:tc>
          <w:tcPr>
            <w:tcW w:w="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b/>
                <w:bCs/>
                <w:color w:val="000000"/>
                <w:sz w:val="20"/>
                <w:szCs w:val="20"/>
              </w:rPr>
            </w:pPr>
          </w:p>
        </w:tc>
        <w:tc>
          <w:tcPr>
            <w:tcW w:w="79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b/>
                <w:bCs/>
                <w:color w:val="000000"/>
                <w:sz w:val="20"/>
                <w:szCs w:val="20"/>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232.82</w:t>
            </w:r>
          </w:p>
        </w:tc>
        <w:tc>
          <w:tcPr>
            <w:tcW w:w="70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b/>
                <w:bCs/>
                <w:color w:val="000000"/>
                <w:sz w:val="20"/>
                <w:szCs w:val="20"/>
              </w:rPr>
            </w:pPr>
          </w:p>
        </w:tc>
        <w:tc>
          <w:tcPr>
            <w:tcW w:w="119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 xml:space="preserve">83815.20 </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r>
      <w:tr>
        <w:tblPrEx>
          <w:tblCellMar>
            <w:top w:w="0" w:type="dxa"/>
            <w:left w:w="108" w:type="dxa"/>
            <w:bottom w:w="0" w:type="dxa"/>
            <w:right w:w="108" w:type="dxa"/>
          </w:tblCellMar>
        </w:tblPrEx>
        <w:trPr>
          <w:trHeight w:val="26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2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3#楼</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甲级防火门</w:t>
            </w:r>
          </w:p>
        </w:tc>
        <w:tc>
          <w:tcPr>
            <w:tcW w:w="11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JFM1822</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1.8</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2.2</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9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3.96</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360</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1425.60 </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r>
      <w:tr>
        <w:tblPrEx>
          <w:tblCellMar>
            <w:top w:w="0" w:type="dxa"/>
            <w:left w:w="108" w:type="dxa"/>
            <w:bottom w:w="0" w:type="dxa"/>
            <w:right w:w="108" w:type="dxa"/>
          </w:tblCellMar>
        </w:tblPrEx>
        <w:trPr>
          <w:trHeight w:val="26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乙级防火门</w:t>
            </w:r>
          </w:p>
        </w:tc>
        <w:tc>
          <w:tcPr>
            <w:tcW w:w="11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YFM1322</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1.3</w:t>
            </w:r>
          </w:p>
        </w:tc>
        <w:tc>
          <w:tcPr>
            <w:tcW w:w="7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2.2</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9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5.72</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360</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2059.20 </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r>
      <w:tr>
        <w:tblPrEx>
          <w:tblCellMar>
            <w:top w:w="0" w:type="dxa"/>
            <w:left w:w="108" w:type="dxa"/>
            <w:bottom w:w="0" w:type="dxa"/>
            <w:right w:w="108" w:type="dxa"/>
          </w:tblCellMar>
        </w:tblPrEx>
        <w:trPr>
          <w:trHeight w:val="26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乙级防火门</w:t>
            </w:r>
          </w:p>
        </w:tc>
        <w:tc>
          <w:tcPr>
            <w:tcW w:w="11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YFM1222</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1.2</w:t>
            </w:r>
          </w:p>
        </w:tc>
        <w:tc>
          <w:tcPr>
            <w:tcW w:w="7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2.2</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9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2.64</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360</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950.40 </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r>
      <w:tr>
        <w:tblPrEx>
          <w:tblCellMar>
            <w:top w:w="0" w:type="dxa"/>
            <w:left w:w="108" w:type="dxa"/>
            <w:bottom w:w="0" w:type="dxa"/>
            <w:right w:w="108" w:type="dxa"/>
          </w:tblCellMar>
        </w:tblPrEx>
        <w:trPr>
          <w:trHeight w:val="26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0"/>
                <w:szCs w:val="20"/>
              </w:rPr>
            </w:pP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896"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小计</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b/>
                <w:bCs/>
                <w:color w:val="000000"/>
                <w:sz w:val="20"/>
                <w:szCs w:val="20"/>
              </w:rPr>
            </w:pPr>
          </w:p>
        </w:tc>
        <w:tc>
          <w:tcPr>
            <w:tcW w:w="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b/>
                <w:bCs/>
                <w:color w:val="000000"/>
                <w:sz w:val="20"/>
                <w:szCs w:val="20"/>
              </w:rPr>
            </w:pPr>
          </w:p>
        </w:tc>
        <w:tc>
          <w:tcPr>
            <w:tcW w:w="79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b/>
                <w:bCs/>
                <w:color w:val="000000"/>
                <w:sz w:val="20"/>
                <w:szCs w:val="20"/>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12.32</w:t>
            </w:r>
          </w:p>
        </w:tc>
        <w:tc>
          <w:tcPr>
            <w:tcW w:w="70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b/>
                <w:bCs/>
                <w:color w:val="000000"/>
                <w:sz w:val="20"/>
                <w:szCs w:val="20"/>
              </w:rPr>
            </w:pPr>
          </w:p>
        </w:tc>
        <w:tc>
          <w:tcPr>
            <w:tcW w:w="119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 xml:space="preserve">4435.20 </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2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5#楼</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甲级防火门</w:t>
            </w:r>
          </w:p>
        </w:tc>
        <w:tc>
          <w:tcPr>
            <w:tcW w:w="11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JFM1222</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1.2</w:t>
            </w:r>
          </w:p>
        </w:tc>
        <w:tc>
          <w:tcPr>
            <w:tcW w:w="7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2.2</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5.28</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360</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1900.80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甲级防火门</w:t>
            </w:r>
          </w:p>
        </w:tc>
        <w:tc>
          <w:tcPr>
            <w:tcW w:w="11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JFM1022n</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2.2</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4.4</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360</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1584.00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甲级防火门</w:t>
            </w:r>
          </w:p>
        </w:tc>
        <w:tc>
          <w:tcPr>
            <w:tcW w:w="11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JFM1022s</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2.2</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4.4</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360</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1584.00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甲级防火门</w:t>
            </w:r>
          </w:p>
        </w:tc>
        <w:tc>
          <w:tcPr>
            <w:tcW w:w="11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JFM0922n</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0.9</w:t>
            </w:r>
          </w:p>
        </w:tc>
        <w:tc>
          <w:tcPr>
            <w:tcW w:w="7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2.2</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1.98</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360</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712.80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甲级防火门</w:t>
            </w:r>
          </w:p>
        </w:tc>
        <w:tc>
          <w:tcPr>
            <w:tcW w:w="11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JFM0922s</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0.9</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2.2</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1.98</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360</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712.80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乙级防火门</w:t>
            </w:r>
          </w:p>
        </w:tc>
        <w:tc>
          <w:tcPr>
            <w:tcW w:w="11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YFM1123n</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1.1</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2.3</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16</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40.48</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360</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14572.80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乙级防火门</w:t>
            </w:r>
          </w:p>
        </w:tc>
        <w:tc>
          <w:tcPr>
            <w:tcW w:w="11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YFM1123s</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1.1</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2.3</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16</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40.48</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360</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14572.80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乙级防火门</w:t>
            </w:r>
          </w:p>
        </w:tc>
        <w:tc>
          <w:tcPr>
            <w:tcW w:w="11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YFM1022n</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2.2</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16</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35.2</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360</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12672.00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9</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乙级防火门</w:t>
            </w:r>
          </w:p>
        </w:tc>
        <w:tc>
          <w:tcPr>
            <w:tcW w:w="11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YFM1022s</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2.2</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16</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35.2</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360</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12672.00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丙级防火门</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BFM0821n</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0.8</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2.1</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1.68</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360</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604.80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11</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丙级防火门</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BFM0821s</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0.8</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2.1</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1.68</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360</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604.80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12</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丙级防火门</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BFM0621s</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0.6</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2.1</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14</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17.64</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360</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6350.40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13</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丙级防火门</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BFM0621n</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0.6</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2.1</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14</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17.64</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360</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6350.40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14</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丙级防火门</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BFM0721s</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0.7</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2.1</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11.76</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360</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4233.60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15</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丙级防火门</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BFM0721n</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0.7</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2.1</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11.76</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360</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4233.60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16</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丙级防火门</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BFM0609s</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0.6</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0.9</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1.62</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360</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583.20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17</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丙级防火门</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BFM0609n</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0.6</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0.9</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1.62</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360</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583.20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26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0"/>
                <w:szCs w:val="20"/>
              </w:rPr>
            </w:pP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896"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小计</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b/>
                <w:bCs/>
                <w:color w:val="000000"/>
                <w:sz w:val="20"/>
                <w:szCs w:val="20"/>
              </w:rPr>
            </w:pPr>
          </w:p>
        </w:tc>
        <w:tc>
          <w:tcPr>
            <w:tcW w:w="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b/>
                <w:bCs/>
                <w:color w:val="000000"/>
                <w:sz w:val="20"/>
                <w:szCs w:val="20"/>
              </w:rPr>
            </w:pPr>
          </w:p>
        </w:tc>
        <w:tc>
          <w:tcPr>
            <w:tcW w:w="79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b/>
                <w:bCs/>
                <w:color w:val="000000"/>
                <w:sz w:val="20"/>
                <w:szCs w:val="20"/>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234.8</w:t>
            </w:r>
          </w:p>
        </w:tc>
        <w:tc>
          <w:tcPr>
            <w:tcW w:w="70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b/>
                <w:bCs/>
                <w:color w:val="000000"/>
                <w:sz w:val="20"/>
                <w:szCs w:val="20"/>
              </w:rPr>
            </w:pPr>
          </w:p>
        </w:tc>
        <w:tc>
          <w:tcPr>
            <w:tcW w:w="119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 xml:space="preserve">84528.00 </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2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6#楼</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甲级防火门</w:t>
            </w:r>
          </w:p>
        </w:tc>
        <w:tc>
          <w:tcPr>
            <w:tcW w:w="11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JFM1222</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1.2</w:t>
            </w:r>
          </w:p>
        </w:tc>
        <w:tc>
          <w:tcPr>
            <w:tcW w:w="7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2.2</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5.28</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360</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1900.80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甲级防火门</w:t>
            </w:r>
          </w:p>
        </w:tc>
        <w:tc>
          <w:tcPr>
            <w:tcW w:w="11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JFM1022n</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2.2</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4.4</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360</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1584.00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甲级防火门</w:t>
            </w:r>
          </w:p>
        </w:tc>
        <w:tc>
          <w:tcPr>
            <w:tcW w:w="11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JFM1022s</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2.2</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4.4</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360</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1584.00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甲级防火门</w:t>
            </w:r>
          </w:p>
        </w:tc>
        <w:tc>
          <w:tcPr>
            <w:tcW w:w="11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JFM0922n</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0.9</w:t>
            </w:r>
          </w:p>
        </w:tc>
        <w:tc>
          <w:tcPr>
            <w:tcW w:w="7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2.2</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1.98</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360</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712.80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甲级防火门</w:t>
            </w:r>
          </w:p>
        </w:tc>
        <w:tc>
          <w:tcPr>
            <w:tcW w:w="11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JFM0922s</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0.9</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2.2</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1.98</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360</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712.80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乙级防火门</w:t>
            </w:r>
          </w:p>
        </w:tc>
        <w:tc>
          <w:tcPr>
            <w:tcW w:w="11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YFM1123n</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1.1</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2.3</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16</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40.48</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360</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14572.80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乙级防火门</w:t>
            </w:r>
          </w:p>
        </w:tc>
        <w:tc>
          <w:tcPr>
            <w:tcW w:w="11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YFM1123s</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1.1</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2.3</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16</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40.48</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360</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14572.80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乙级防火门</w:t>
            </w:r>
          </w:p>
        </w:tc>
        <w:tc>
          <w:tcPr>
            <w:tcW w:w="11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YFM1022n</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2.2</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16</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35.2</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360</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12672.00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9</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乙级防火门</w:t>
            </w:r>
          </w:p>
        </w:tc>
        <w:tc>
          <w:tcPr>
            <w:tcW w:w="11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YFM1022s</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2.2</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16</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35.2</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360</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12672.00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丙级防火门</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BFM0821n</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0.8</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2.1</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1.68</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360</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604.80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11</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丙级防火门</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BFM0821s</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0.8</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2.1</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1.68</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360</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604.80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12</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丙级防火门</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BFM0621s</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0.6</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2.1</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14</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17.64</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360</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6350.40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13</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丙级防火门</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BFM0621n</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0.6</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2.1</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14</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17.64</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360</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6350.40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14</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丙级防火门</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BFM0721s</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0.7</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2.1</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11.76</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360</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4233.60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15</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丙级防火门</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BFM0721n</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0.7</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2.1</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11.76</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360</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4233.60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16</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丙级防火门</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BFM0609s</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0.6</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0.9</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1.62</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360</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583.20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17</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丙级防火门</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BFM0609n</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0.6</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0.9</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1.62</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360</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583.20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26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0"/>
                <w:szCs w:val="20"/>
              </w:rPr>
            </w:pP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896"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小计</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b/>
                <w:bCs/>
                <w:color w:val="000000"/>
                <w:sz w:val="20"/>
                <w:szCs w:val="20"/>
              </w:rPr>
            </w:pPr>
          </w:p>
        </w:tc>
        <w:tc>
          <w:tcPr>
            <w:tcW w:w="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b/>
                <w:bCs/>
                <w:color w:val="000000"/>
                <w:sz w:val="20"/>
                <w:szCs w:val="20"/>
              </w:rPr>
            </w:pPr>
          </w:p>
        </w:tc>
        <w:tc>
          <w:tcPr>
            <w:tcW w:w="79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b/>
                <w:bCs/>
                <w:color w:val="000000"/>
                <w:sz w:val="20"/>
                <w:szCs w:val="20"/>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234.8</w:t>
            </w:r>
          </w:p>
        </w:tc>
        <w:tc>
          <w:tcPr>
            <w:tcW w:w="70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b/>
                <w:bCs/>
                <w:color w:val="000000"/>
                <w:sz w:val="20"/>
                <w:szCs w:val="20"/>
              </w:rPr>
            </w:pPr>
          </w:p>
        </w:tc>
        <w:tc>
          <w:tcPr>
            <w:tcW w:w="119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 xml:space="preserve">84528.00 </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r>
      <w:tr>
        <w:tblPrEx>
          <w:tblCellMar>
            <w:top w:w="0" w:type="dxa"/>
            <w:left w:w="108" w:type="dxa"/>
            <w:bottom w:w="0" w:type="dxa"/>
            <w:right w:w="108" w:type="dxa"/>
          </w:tblCellMar>
        </w:tblPrEx>
        <w:trPr>
          <w:trHeight w:val="26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27" w:type="dxa"/>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7#楼（开关站）</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甲级防火门</w:t>
            </w:r>
          </w:p>
        </w:tc>
        <w:tc>
          <w:tcPr>
            <w:tcW w:w="11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JFM2430</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2.4</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28.8</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360</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10368.00 </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r>
      <w:tr>
        <w:tblPrEx>
          <w:tblCellMar>
            <w:top w:w="0" w:type="dxa"/>
            <w:left w:w="108" w:type="dxa"/>
            <w:bottom w:w="0" w:type="dxa"/>
            <w:right w:w="108" w:type="dxa"/>
          </w:tblCellMar>
        </w:tblPrEx>
        <w:trPr>
          <w:trHeight w:val="26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627" w:type="dxa"/>
            <w:vMerge w:val="continue"/>
            <w:tcBorders>
              <w:top w:val="nil"/>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甲级防火门</w:t>
            </w:r>
          </w:p>
        </w:tc>
        <w:tc>
          <w:tcPr>
            <w:tcW w:w="11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JFM1522</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1.5</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2.2</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3.3</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360</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1188.00 </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r>
      <w:tr>
        <w:tblPrEx>
          <w:tblCellMar>
            <w:top w:w="0" w:type="dxa"/>
            <w:left w:w="108" w:type="dxa"/>
            <w:bottom w:w="0" w:type="dxa"/>
            <w:right w:w="108" w:type="dxa"/>
          </w:tblCellMar>
        </w:tblPrEx>
        <w:trPr>
          <w:trHeight w:val="434"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0"/>
                <w:szCs w:val="20"/>
              </w:rPr>
            </w:pPr>
          </w:p>
        </w:tc>
        <w:tc>
          <w:tcPr>
            <w:tcW w:w="627" w:type="dxa"/>
            <w:vMerge w:val="continue"/>
            <w:tcBorders>
              <w:top w:val="nil"/>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896"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小计</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b/>
                <w:bCs/>
                <w:color w:val="000000"/>
                <w:sz w:val="20"/>
                <w:szCs w:val="20"/>
              </w:rPr>
            </w:pPr>
          </w:p>
        </w:tc>
        <w:tc>
          <w:tcPr>
            <w:tcW w:w="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b/>
                <w:bCs/>
                <w:color w:val="000000"/>
                <w:sz w:val="20"/>
                <w:szCs w:val="20"/>
              </w:rPr>
            </w:pPr>
          </w:p>
        </w:tc>
        <w:tc>
          <w:tcPr>
            <w:tcW w:w="79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b/>
                <w:bCs/>
                <w:color w:val="000000"/>
                <w:sz w:val="20"/>
                <w:szCs w:val="20"/>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32.1</w:t>
            </w:r>
          </w:p>
        </w:tc>
        <w:tc>
          <w:tcPr>
            <w:tcW w:w="70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b/>
                <w:bCs/>
                <w:color w:val="000000"/>
                <w:sz w:val="20"/>
                <w:szCs w:val="20"/>
              </w:rPr>
            </w:pPr>
          </w:p>
        </w:tc>
        <w:tc>
          <w:tcPr>
            <w:tcW w:w="119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 xml:space="preserve">11556.00 </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2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8#楼</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甲级防火门</w:t>
            </w:r>
          </w:p>
        </w:tc>
        <w:tc>
          <w:tcPr>
            <w:tcW w:w="11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JFM1222</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1.2</w:t>
            </w:r>
          </w:p>
        </w:tc>
        <w:tc>
          <w:tcPr>
            <w:tcW w:w="7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2.2</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5.28</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360</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1900.80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甲级防火门</w:t>
            </w:r>
          </w:p>
        </w:tc>
        <w:tc>
          <w:tcPr>
            <w:tcW w:w="11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JFM1022n</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2.2</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4.4</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360</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1584.00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甲级防火门</w:t>
            </w:r>
          </w:p>
        </w:tc>
        <w:tc>
          <w:tcPr>
            <w:tcW w:w="11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JFM1022s</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2.2</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4.4</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360</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1584.00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甲级防火门</w:t>
            </w:r>
          </w:p>
        </w:tc>
        <w:tc>
          <w:tcPr>
            <w:tcW w:w="11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JFM0922n</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0.9</w:t>
            </w:r>
          </w:p>
        </w:tc>
        <w:tc>
          <w:tcPr>
            <w:tcW w:w="7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2.2</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1.98</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360</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712.80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甲级防火门</w:t>
            </w:r>
          </w:p>
        </w:tc>
        <w:tc>
          <w:tcPr>
            <w:tcW w:w="11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JFM0922s</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0.9</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2.2</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1.98</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360</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712.80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乙级防火门</w:t>
            </w:r>
          </w:p>
        </w:tc>
        <w:tc>
          <w:tcPr>
            <w:tcW w:w="11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YFM1123n</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1.1</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2.3</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16</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40.48</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360</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14572.80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乙级防火门</w:t>
            </w:r>
          </w:p>
        </w:tc>
        <w:tc>
          <w:tcPr>
            <w:tcW w:w="11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YFM1123s</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1.1</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2.3</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16</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40.48</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360</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14572.80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乙级防火门</w:t>
            </w:r>
          </w:p>
        </w:tc>
        <w:tc>
          <w:tcPr>
            <w:tcW w:w="11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YFM1022n</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2.2</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16</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35.2</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360</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12672.00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9</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乙级防火门</w:t>
            </w:r>
          </w:p>
        </w:tc>
        <w:tc>
          <w:tcPr>
            <w:tcW w:w="11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YFM1022s</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2.2</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16</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35.2</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360</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12672.00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丙级防火门</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BFM0821n</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0.8</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2.1</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1.68</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360</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604.80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11</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丙级防火门</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BFM0821s</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0.8</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2.1</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1.68</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360</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604.80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12</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丙级防火门</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BFM0621s</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0.6</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2.1</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14</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17.64</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360</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6350.40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13</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丙级防火门</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BFM0621n</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0.6</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2.1</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14</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17.64</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360</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6350.40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14</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丙级防火门</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BFM0721s</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0.7</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2.1</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11.76</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360</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4233.60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15</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丙级防火门</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BFM0721n</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0.7</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2.1</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11.76</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360</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4233.60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16</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丙级防火门</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BFM0609s</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0.6</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0.9</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1.62</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360</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583.20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17</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丙级防火门</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BFM0609n</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0.6</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0.9</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1.62</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360</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583.20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26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0"/>
                <w:szCs w:val="20"/>
              </w:rPr>
            </w:pP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896"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小计</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b/>
                <w:bCs/>
                <w:color w:val="000000"/>
                <w:sz w:val="20"/>
                <w:szCs w:val="20"/>
              </w:rPr>
            </w:pPr>
          </w:p>
        </w:tc>
        <w:tc>
          <w:tcPr>
            <w:tcW w:w="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b/>
                <w:bCs/>
                <w:color w:val="000000"/>
                <w:sz w:val="20"/>
                <w:szCs w:val="20"/>
              </w:rPr>
            </w:pPr>
          </w:p>
        </w:tc>
        <w:tc>
          <w:tcPr>
            <w:tcW w:w="79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b/>
                <w:bCs/>
                <w:color w:val="000000"/>
                <w:sz w:val="20"/>
                <w:szCs w:val="20"/>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234.8</w:t>
            </w:r>
          </w:p>
        </w:tc>
        <w:tc>
          <w:tcPr>
            <w:tcW w:w="70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b/>
                <w:bCs/>
                <w:color w:val="000000"/>
                <w:sz w:val="20"/>
                <w:szCs w:val="20"/>
              </w:rPr>
            </w:pPr>
          </w:p>
        </w:tc>
        <w:tc>
          <w:tcPr>
            <w:tcW w:w="119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 xml:space="preserve">84528.00 </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2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9#楼</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甲级防火门</w:t>
            </w:r>
          </w:p>
        </w:tc>
        <w:tc>
          <w:tcPr>
            <w:tcW w:w="11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JFM1222</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1.2</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2.2</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2.64</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360</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950.40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甲级防火门</w:t>
            </w:r>
          </w:p>
        </w:tc>
        <w:tc>
          <w:tcPr>
            <w:tcW w:w="11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JFM1022n</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2.2</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2.2</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360</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792.00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甲级防火门</w:t>
            </w:r>
          </w:p>
        </w:tc>
        <w:tc>
          <w:tcPr>
            <w:tcW w:w="11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JFM1022s</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2.2</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2.2</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360</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792.00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甲级防火门</w:t>
            </w:r>
          </w:p>
        </w:tc>
        <w:tc>
          <w:tcPr>
            <w:tcW w:w="11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JFM0922n</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0.9</w:t>
            </w:r>
          </w:p>
        </w:tc>
        <w:tc>
          <w:tcPr>
            <w:tcW w:w="7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2.2</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1.98</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360</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712.80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乙级防火门</w:t>
            </w:r>
          </w:p>
        </w:tc>
        <w:tc>
          <w:tcPr>
            <w:tcW w:w="11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YFM1123n</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1.1</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2.3</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20.24</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360</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7286.40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乙级防火门</w:t>
            </w:r>
          </w:p>
        </w:tc>
        <w:tc>
          <w:tcPr>
            <w:tcW w:w="11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YFM1123s</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1.1</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2.3</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20.24</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360</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7286.40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乙级防火门</w:t>
            </w:r>
          </w:p>
        </w:tc>
        <w:tc>
          <w:tcPr>
            <w:tcW w:w="11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YFM1022n</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2.2</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17.6</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360</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6336.00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乙级防火门</w:t>
            </w:r>
          </w:p>
        </w:tc>
        <w:tc>
          <w:tcPr>
            <w:tcW w:w="11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YFM1022s</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2.2</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17.6</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360</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6336.00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9</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丙级防火门</w:t>
            </w:r>
          </w:p>
        </w:tc>
        <w:tc>
          <w:tcPr>
            <w:tcW w:w="11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BFM0821n</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0.8</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2.1</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1.68</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360</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604.80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丙级防火门</w:t>
            </w:r>
          </w:p>
        </w:tc>
        <w:tc>
          <w:tcPr>
            <w:tcW w:w="11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BFM0621s</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0.6</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2.1</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10.08</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360</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3628.80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11</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丙级防火门</w:t>
            </w:r>
          </w:p>
        </w:tc>
        <w:tc>
          <w:tcPr>
            <w:tcW w:w="11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BFM0621n</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0.6</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2.1</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10.08</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360</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3628.80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12</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丙级防火门</w:t>
            </w:r>
          </w:p>
        </w:tc>
        <w:tc>
          <w:tcPr>
            <w:tcW w:w="11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BFM0721s</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0.7</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2.1</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11.76</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360</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4233.60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13</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丙级防火门</w:t>
            </w:r>
          </w:p>
        </w:tc>
        <w:tc>
          <w:tcPr>
            <w:tcW w:w="11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BFM0609n</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0.6</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0.9</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1.08</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360</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388.80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14</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丙级防火门</w:t>
            </w:r>
          </w:p>
        </w:tc>
        <w:tc>
          <w:tcPr>
            <w:tcW w:w="11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BFM0609s</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0.6</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0.9</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0.54</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360</w:t>
            </w: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194.40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26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0"/>
                <w:szCs w:val="20"/>
              </w:rPr>
            </w:pP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896"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小计</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b/>
                <w:bCs/>
                <w:color w:val="000000"/>
                <w:sz w:val="20"/>
                <w:szCs w:val="20"/>
              </w:rPr>
            </w:pPr>
          </w:p>
        </w:tc>
        <w:tc>
          <w:tcPr>
            <w:tcW w:w="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b/>
                <w:bCs/>
                <w:color w:val="000000"/>
                <w:sz w:val="20"/>
                <w:szCs w:val="20"/>
              </w:rPr>
            </w:pPr>
          </w:p>
        </w:tc>
        <w:tc>
          <w:tcPr>
            <w:tcW w:w="79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b/>
                <w:bCs/>
                <w:color w:val="000000"/>
                <w:sz w:val="20"/>
                <w:szCs w:val="20"/>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119.92</w:t>
            </w:r>
          </w:p>
        </w:tc>
        <w:tc>
          <w:tcPr>
            <w:tcW w:w="70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b/>
                <w:bCs/>
                <w:color w:val="000000"/>
                <w:sz w:val="20"/>
                <w:szCs w:val="20"/>
              </w:rPr>
            </w:pPr>
          </w:p>
        </w:tc>
        <w:tc>
          <w:tcPr>
            <w:tcW w:w="119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b/>
                <w:bCs/>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 xml:space="preserve">43171.20 </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r>
      <w:tr>
        <w:tblPrEx>
          <w:tblCellMar>
            <w:top w:w="0" w:type="dxa"/>
            <w:left w:w="108" w:type="dxa"/>
            <w:bottom w:w="0" w:type="dxa"/>
            <w:right w:w="108" w:type="dxa"/>
          </w:tblCellMar>
        </w:tblPrEx>
        <w:trPr>
          <w:trHeight w:val="287" w:hRule="atLeast"/>
          <w:jc w:val="center"/>
        </w:trPr>
        <w:tc>
          <w:tcPr>
            <w:tcW w:w="5578" w:type="dxa"/>
            <w:gridSpan w:val="7"/>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合计</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694</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1338.61</w:t>
            </w:r>
          </w:p>
        </w:tc>
        <w:tc>
          <w:tcPr>
            <w:tcW w:w="70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0"/>
                <w:szCs w:val="20"/>
              </w:rPr>
            </w:pPr>
          </w:p>
        </w:tc>
        <w:tc>
          <w:tcPr>
            <w:tcW w:w="119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481899.60 </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0"/>
                <w:szCs w:val="20"/>
              </w:rPr>
            </w:pPr>
          </w:p>
        </w:tc>
      </w:tr>
      <w:bookmarkEnd w:id="221"/>
    </w:tbl>
    <w:p>
      <w:pPr>
        <w:spacing w:after="120"/>
        <w:rPr>
          <w:rFonts w:ascii="Times New Roman" w:hAnsi="Times New Roman" w:eastAsia="宋体" w:cs="Times New Roman"/>
          <w:szCs w:val="20"/>
        </w:rPr>
      </w:pPr>
    </w:p>
    <w:p>
      <w:pPr>
        <w:tabs>
          <w:tab w:val="left" w:pos="0"/>
        </w:tabs>
        <w:spacing w:before="340" w:after="330" w:line="300" w:lineRule="exact"/>
        <w:outlineLvl w:val="0"/>
        <w:rPr>
          <w:rFonts w:ascii="宋体" w:hAnsi="宋体" w:eastAsia="宋体" w:cs="宋体"/>
          <w:color w:val="000000"/>
          <w:szCs w:val="20"/>
        </w:rPr>
      </w:pPr>
      <w:r>
        <w:rPr>
          <w:rFonts w:hint="eastAsia" w:ascii="Times New Roman" w:hAnsi="Times New Roman" w:eastAsia="宋体" w:cs="Times New Roman"/>
          <w:b/>
          <w:kern w:val="44"/>
          <w:sz w:val="24"/>
          <w:szCs w:val="24"/>
        </w:rPr>
        <w:t>注：</w:t>
      </w:r>
      <w:r>
        <w:rPr>
          <w:rFonts w:hint="eastAsia" w:ascii="宋体" w:hAnsi="宋体" w:eastAsia="宋体" w:cs="宋体"/>
          <w:color w:val="000000"/>
          <w:szCs w:val="20"/>
        </w:rPr>
        <w:t>投标人的投标报价不得超过公布的合价最高投标限价和各项单价最高限价，否则按废标处理。</w:t>
      </w:r>
    </w:p>
    <w:p>
      <w:pPr>
        <w:spacing w:line="520" w:lineRule="exact"/>
        <w:rPr>
          <w:rFonts w:cs="仿宋" w:asciiTheme="minorEastAsia" w:hAnsiTheme="minorEastAsia"/>
          <w:b/>
          <w:bCs/>
          <w:szCs w:val="21"/>
        </w:rPr>
      </w:pPr>
      <w:r>
        <w:rPr>
          <w:rFonts w:hint="eastAsia" w:cs="仿宋" w:asciiTheme="minorEastAsia" w:hAnsiTheme="minorEastAsia"/>
          <w:b/>
          <w:bCs/>
          <w:szCs w:val="21"/>
        </w:rPr>
        <w:t>二、技术、安装要求及验收标准</w:t>
      </w:r>
    </w:p>
    <w:p>
      <w:pPr>
        <w:tabs>
          <w:tab w:val="left" w:pos="486"/>
        </w:tabs>
        <w:spacing w:line="520" w:lineRule="exact"/>
        <w:ind w:firstLine="420" w:firstLineChars="200"/>
        <w:rPr>
          <w:rFonts w:cs="仿宋" w:asciiTheme="minorEastAsia" w:hAnsiTheme="minorEastAsia"/>
          <w:szCs w:val="21"/>
        </w:rPr>
      </w:pPr>
      <w:r>
        <w:rPr>
          <w:rFonts w:hint="eastAsia" w:cs="仿宋" w:asciiTheme="minorEastAsia" w:hAnsiTheme="minorEastAsia"/>
          <w:szCs w:val="21"/>
        </w:rPr>
        <w:t>1.投标人须现场踏勘，充分了解项目情况；</w:t>
      </w:r>
    </w:p>
    <w:p>
      <w:pPr>
        <w:tabs>
          <w:tab w:val="left" w:pos="486"/>
        </w:tabs>
        <w:spacing w:line="520" w:lineRule="exact"/>
        <w:ind w:firstLine="420" w:firstLineChars="200"/>
        <w:rPr>
          <w:rFonts w:cs="仿宋" w:asciiTheme="minorEastAsia" w:hAnsiTheme="minorEastAsia"/>
          <w:szCs w:val="21"/>
        </w:rPr>
      </w:pPr>
      <w:r>
        <w:rPr>
          <w:rFonts w:hint="eastAsia" w:cs="仿宋" w:asciiTheme="minorEastAsia" w:hAnsiTheme="minorEastAsia"/>
          <w:szCs w:val="21"/>
        </w:rPr>
        <w:t>2.供货方需现场进行门窗洞口尺寸复核；</w:t>
      </w:r>
    </w:p>
    <w:p>
      <w:pPr>
        <w:spacing w:line="520" w:lineRule="exact"/>
        <w:ind w:firstLine="420" w:firstLineChars="200"/>
        <w:rPr>
          <w:rFonts w:cs="仿宋" w:asciiTheme="minorEastAsia" w:hAnsiTheme="minorEastAsia"/>
          <w:szCs w:val="21"/>
        </w:rPr>
      </w:pPr>
      <w:r>
        <w:rPr>
          <w:rFonts w:hint="eastAsia" w:cs="仿宋" w:asciiTheme="minorEastAsia" w:hAnsiTheme="minorEastAsia"/>
          <w:szCs w:val="21"/>
        </w:rPr>
        <w:t>3.供货方负责安装，</w:t>
      </w:r>
      <w:r>
        <w:rPr>
          <w:rFonts w:cs="仿宋" w:asciiTheme="minorEastAsia" w:hAnsiTheme="minorEastAsia"/>
          <w:szCs w:val="21"/>
        </w:rPr>
        <w:t>门框与墙体连接牢固，缝隙填充防火密封材料</w:t>
      </w:r>
      <w:r>
        <w:rPr>
          <w:rFonts w:hint="eastAsia" w:cs="仿宋" w:asciiTheme="minorEastAsia" w:hAnsiTheme="minorEastAsia"/>
          <w:szCs w:val="21"/>
        </w:rPr>
        <w:t>（灌浆、五金等配件材料自备）；</w:t>
      </w:r>
    </w:p>
    <w:p>
      <w:pPr>
        <w:spacing w:line="520" w:lineRule="exact"/>
        <w:ind w:firstLine="420" w:firstLineChars="200"/>
        <w:rPr>
          <w:rFonts w:cs="仿宋" w:asciiTheme="minorEastAsia" w:hAnsiTheme="minorEastAsia"/>
          <w:szCs w:val="21"/>
        </w:rPr>
      </w:pPr>
      <w:r>
        <w:rPr>
          <w:rFonts w:hint="eastAsia" w:cs="仿宋" w:asciiTheme="minorEastAsia" w:hAnsiTheme="minorEastAsia"/>
          <w:szCs w:val="21"/>
        </w:rPr>
        <w:t>4.防火门把手等配件采用可靠性较强材料，安装后不得出现晃动、松散等现象；</w:t>
      </w:r>
    </w:p>
    <w:p>
      <w:pPr>
        <w:spacing w:line="520" w:lineRule="exact"/>
        <w:ind w:firstLine="420" w:firstLineChars="200"/>
        <w:rPr>
          <w:rFonts w:cs="仿宋" w:asciiTheme="minorEastAsia" w:hAnsiTheme="minorEastAsia"/>
          <w:szCs w:val="21"/>
        </w:rPr>
      </w:pPr>
      <w:r>
        <w:rPr>
          <w:rFonts w:hint="eastAsia" w:cs="仿宋" w:asciiTheme="minorEastAsia" w:hAnsiTheme="minorEastAsia"/>
          <w:szCs w:val="21"/>
        </w:rPr>
        <w:t>5.水管井每层楼面应封闭,检修门应为内衬保温层的自闭式密封防火门且应设置密封条；</w:t>
      </w:r>
    </w:p>
    <w:p>
      <w:pPr>
        <w:spacing w:line="520" w:lineRule="exact"/>
        <w:ind w:firstLine="420" w:firstLineChars="200"/>
        <w:rPr>
          <w:rFonts w:cs="仿宋" w:asciiTheme="minorEastAsia" w:hAnsiTheme="minorEastAsia"/>
          <w:szCs w:val="21"/>
        </w:rPr>
      </w:pPr>
      <w:r>
        <w:rPr>
          <w:rFonts w:hint="eastAsia" w:cs="仿宋" w:asciiTheme="minorEastAsia" w:hAnsiTheme="minorEastAsia"/>
          <w:szCs w:val="21"/>
        </w:rPr>
        <w:t>6.防火门、防火窗应具有自动关闭的功能,在关闭后应具有烟密闭的性能；</w:t>
      </w:r>
      <w:r>
        <w:rPr>
          <w:rFonts w:cs="仿宋" w:asciiTheme="minorEastAsia" w:hAnsiTheme="minorEastAsia"/>
          <w:szCs w:val="21"/>
        </w:rPr>
        <w:t>闭门器、顺序器、防火锁等配件安装符合规范。</w:t>
      </w:r>
    </w:p>
    <w:p>
      <w:pPr>
        <w:spacing w:line="520" w:lineRule="exact"/>
        <w:ind w:firstLine="420" w:firstLineChars="200"/>
        <w:rPr>
          <w:rFonts w:cs="仿宋" w:asciiTheme="minorEastAsia" w:hAnsiTheme="minorEastAsia"/>
          <w:szCs w:val="21"/>
        </w:rPr>
      </w:pPr>
      <w:r>
        <w:rPr>
          <w:rFonts w:hint="eastAsia" w:cs="仿宋" w:asciiTheme="minorEastAsia" w:hAnsiTheme="minorEastAsia"/>
          <w:szCs w:val="21"/>
        </w:rPr>
        <w:t>7.防火门采用A类隔热防火门其耐火隔热性、耐火完整性甲级≥1.5h;乙级≥1.0h;丙级≥0.5h；</w:t>
      </w:r>
    </w:p>
    <w:p>
      <w:pPr>
        <w:spacing w:line="520" w:lineRule="exact"/>
        <w:ind w:firstLine="420" w:firstLineChars="200"/>
        <w:rPr>
          <w:rFonts w:cs="仿宋" w:asciiTheme="minorEastAsia" w:hAnsiTheme="minorEastAsia"/>
          <w:szCs w:val="21"/>
        </w:rPr>
      </w:pPr>
      <w:r>
        <w:rPr>
          <w:rFonts w:hint="eastAsia" w:cs="仿宋" w:asciiTheme="minorEastAsia" w:hAnsiTheme="minorEastAsia"/>
          <w:szCs w:val="21"/>
        </w:rPr>
        <w:t>8.疏散用的防火门净高均不小于2.1米；</w:t>
      </w:r>
    </w:p>
    <w:p>
      <w:pPr>
        <w:spacing w:line="520" w:lineRule="exact"/>
        <w:ind w:firstLine="420" w:firstLineChars="200"/>
        <w:rPr>
          <w:rFonts w:cs="仿宋" w:asciiTheme="minorEastAsia" w:hAnsiTheme="minorEastAsia"/>
          <w:szCs w:val="21"/>
        </w:rPr>
      </w:pPr>
      <w:r>
        <w:rPr>
          <w:rFonts w:hint="eastAsia" w:cs="仿宋" w:asciiTheme="minorEastAsia" w:hAnsiTheme="minorEastAsia"/>
          <w:szCs w:val="21"/>
        </w:rPr>
        <w:t>9.执行标准：《防火门》GB12955-2015《建筑设计防火规范》GB50016-2014；</w:t>
      </w:r>
    </w:p>
    <w:p>
      <w:pPr>
        <w:spacing w:line="520" w:lineRule="exact"/>
        <w:ind w:firstLine="420" w:firstLineChars="200"/>
        <w:rPr>
          <w:rFonts w:cs="仿宋" w:asciiTheme="minorEastAsia" w:hAnsiTheme="minorEastAsia"/>
          <w:szCs w:val="21"/>
        </w:rPr>
      </w:pPr>
      <w:r>
        <w:rPr>
          <w:rFonts w:hint="eastAsia" w:cs="仿宋" w:asciiTheme="minorEastAsia" w:hAnsiTheme="minorEastAsia"/>
          <w:szCs w:val="21"/>
        </w:rPr>
        <w:t>10.门框、门扇材质、填充材料、五金配件需提供型式检验（检测）报告。</w:t>
      </w:r>
    </w:p>
    <w:p>
      <w:pPr>
        <w:spacing w:line="520" w:lineRule="exact"/>
        <w:ind w:firstLine="420" w:firstLineChars="200"/>
        <w:rPr>
          <w:rFonts w:cs="仿宋" w:asciiTheme="minorEastAsia" w:hAnsiTheme="minorEastAsia"/>
          <w:szCs w:val="21"/>
        </w:rPr>
      </w:pPr>
      <w:r>
        <w:rPr>
          <w:rFonts w:hint="eastAsia" w:cs="仿宋" w:asciiTheme="minorEastAsia" w:hAnsiTheme="minorEastAsia"/>
          <w:szCs w:val="21"/>
        </w:rPr>
        <w:t>11.五金配件需统一品牌，不得选用两个及以上品牌。</w:t>
      </w:r>
    </w:p>
    <w:p>
      <w:pPr>
        <w:spacing w:line="520" w:lineRule="exact"/>
        <w:ind w:firstLine="420" w:firstLineChars="200"/>
        <w:rPr>
          <w:rFonts w:cs="仿宋" w:asciiTheme="minorEastAsia" w:hAnsiTheme="minorEastAsia"/>
          <w:szCs w:val="21"/>
        </w:rPr>
      </w:pPr>
      <w:r>
        <w:rPr>
          <w:rFonts w:hint="eastAsia" w:cs="仿宋" w:asciiTheme="minorEastAsia" w:hAnsiTheme="minorEastAsia"/>
          <w:szCs w:val="21"/>
        </w:rPr>
        <w:t>12.实际尺寸及开启方式详见施工图及大样；</w:t>
      </w:r>
    </w:p>
    <w:p>
      <w:pPr>
        <w:spacing w:line="520" w:lineRule="exact"/>
        <w:ind w:firstLine="420" w:firstLineChars="200"/>
        <w:rPr>
          <w:rFonts w:cs="仿宋" w:asciiTheme="minorEastAsia" w:hAnsiTheme="minorEastAsia"/>
          <w:szCs w:val="21"/>
        </w:rPr>
      </w:pPr>
      <w:r>
        <w:rPr>
          <w:rFonts w:hint="eastAsia" w:cs="仿宋" w:asciiTheme="minorEastAsia" w:hAnsiTheme="minorEastAsia"/>
          <w:szCs w:val="21"/>
        </w:rPr>
        <w:t>13.最终所有门由承包方根据要求进行优化设计，须经采购人进行书面认可后方可制作、安装；</w:t>
      </w:r>
    </w:p>
    <w:p>
      <w:pPr>
        <w:spacing w:line="520" w:lineRule="exact"/>
        <w:ind w:firstLine="420" w:firstLineChars="200"/>
        <w:rPr>
          <w:rFonts w:cs="仿宋" w:asciiTheme="minorEastAsia" w:hAnsiTheme="minorEastAsia"/>
          <w:szCs w:val="21"/>
        </w:rPr>
      </w:pPr>
      <w:r>
        <w:rPr>
          <w:rFonts w:hint="eastAsia" w:cs="仿宋" w:asciiTheme="minorEastAsia" w:hAnsiTheme="minorEastAsia"/>
          <w:szCs w:val="21"/>
        </w:rPr>
        <w:t>14.合价用报价人自报单价和自报制作面积计算，制作尺寸必须符合相关规范要求；</w:t>
      </w:r>
    </w:p>
    <w:p>
      <w:pPr>
        <w:spacing w:line="520" w:lineRule="exact"/>
        <w:ind w:firstLine="420" w:firstLineChars="200"/>
        <w:rPr>
          <w:rFonts w:cs="仿宋" w:asciiTheme="minorEastAsia" w:hAnsiTheme="minorEastAsia"/>
          <w:szCs w:val="21"/>
        </w:rPr>
      </w:pPr>
      <w:r>
        <w:rPr>
          <w:rFonts w:hint="eastAsia" w:cs="仿宋" w:asciiTheme="minorEastAsia" w:hAnsiTheme="minorEastAsia"/>
          <w:szCs w:val="21"/>
        </w:rPr>
        <w:t>15.安装完成后由投标人负责办理消防验收手续；</w:t>
      </w:r>
    </w:p>
    <w:p>
      <w:pPr>
        <w:spacing w:line="520" w:lineRule="exact"/>
        <w:ind w:firstLine="420" w:firstLineChars="200"/>
        <w:rPr>
          <w:rFonts w:cs="仿宋" w:asciiTheme="minorEastAsia" w:hAnsiTheme="minorEastAsia"/>
          <w:szCs w:val="21"/>
        </w:rPr>
      </w:pPr>
      <w:r>
        <w:rPr>
          <w:rFonts w:hint="eastAsia" w:cs="仿宋" w:asciiTheme="minorEastAsia" w:hAnsiTheme="minorEastAsia"/>
          <w:szCs w:val="21"/>
        </w:rPr>
        <w:t>16.提供消防部门出具的验收合格证明文件。</w:t>
      </w:r>
    </w:p>
    <w:p>
      <w:pPr>
        <w:widowControl/>
        <w:adjustRightInd w:val="0"/>
        <w:snapToGrid w:val="0"/>
        <w:spacing w:line="480" w:lineRule="exact"/>
        <w:ind w:firstLine="420" w:firstLineChars="200"/>
        <w:rPr>
          <w:rFonts w:cs="Times New Roman" w:asciiTheme="minorEastAsia" w:hAnsiTheme="minorEastAsia"/>
          <w:szCs w:val="21"/>
        </w:rPr>
      </w:pPr>
      <w:r>
        <w:rPr>
          <w:rFonts w:hint="eastAsia" w:cs="仿宋" w:asciiTheme="minorEastAsia" w:hAnsiTheme="minorEastAsia"/>
          <w:szCs w:val="21"/>
        </w:rPr>
        <w:t>17.以上所有货物产品质量必须满足相关要求和执行标准，每批次产品需随车提供产品合格证及相关型式检验（检测）报告，送达工地的货物标识必须标有生产厂家、品牌、规格、执行标准、生产日期等。所有货物到场后先抽检再使用，如果在质量抽查中出现不合格的情况，所有材料均作退场处理，由此造成的损失均由材料供应商承担；</w:t>
      </w:r>
    </w:p>
    <w:p>
      <w:pPr>
        <w:widowControl/>
        <w:adjustRightInd w:val="0"/>
        <w:snapToGrid w:val="0"/>
        <w:spacing w:line="480" w:lineRule="exact"/>
        <w:ind w:firstLine="420" w:firstLineChars="200"/>
        <w:rPr>
          <w:rFonts w:cs="仿宋" w:asciiTheme="minorEastAsia" w:hAnsiTheme="minorEastAsia"/>
          <w:szCs w:val="21"/>
        </w:rPr>
      </w:pPr>
      <w:r>
        <w:rPr>
          <w:rFonts w:hint="eastAsia" w:cs="仿宋" w:asciiTheme="minorEastAsia" w:hAnsiTheme="minorEastAsia"/>
          <w:szCs w:val="21"/>
        </w:rPr>
        <w:t>18.防火门安装要求：供应商加工供应的防火门门门框外包尺寸可按总包提供的施工图洞口尺寸每边缩小≤20mm(即洞口顶、左、右三边)，具体尺寸可根据现场情况调整，并经甲方同意后确定。门框槽口内应在安装后满填细石混凝土，预密 1cm 的凹口，使门框与墙体之间的间隙处满填水泥砂浆后，保证安装强度。尺寸要求(参见GB50210-2001《建筑装饰装修工程质量验收规范》)。门页和门框的高度、宽度±2，门页厚度偏差(+2，-1)，对角线允许误差≤3.0mm;(使用钢尺测量高度、宽度、对角线)门页与门框的贴合面间隙≤3.0mm;(用塞尺测量该项目数据)门页与门框的搭接宽度不应小于10mm。(用钢尺测量该项目数据)门框垂直度允许误差≤2.0mm;门页表面扭曲度允许误差≤5.0mm;(现场拉线测量或者放在平台上用塞尺检查)门页高度方向弯曲度允许误差≤2.0m。(用直尺与塞尺测量)子母门门页之问缝隙≤3.0mm。(塞尺测量)。门页与下槛或地面活动间隙&lt;7.0mm。(塞尺测量)。门页安装完毕后，必须完全挤压密封条，关门严密。</w:t>
      </w:r>
    </w:p>
    <w:p>
      <w:pPr>
        <w:widowControl/>
        <w:adjustRightInd w:val="0"/>
        <w:snapToGrid w:val="0"/>
        <w:spacing w:line="480" w:lineRule="exact"/>
        <w:ind w:firstLine="420" w:firstLineChars="200"/>
        <w:rPr>
          <w:rFonts w:cs="仿宋" w:asciiTheme="minorEastAsia" w:hAnsiTheme="minorEastAsia"/>
          <w:szCs w:val="21"/>
        </w:rPr>
      </w:pPr>
      <w:r>
        <w:rPr>
          <w:rFonts w:hint="eastAsia" w:cs="仿宋" w:asciiTheme="minorEastAsia" w:hAnsiTheme="minorEastAsia"/>
          <w:szCs w:val="21"/>
        </w:rPr>
        <w:t>19、成品保护要求：成品保护原则为谁施工谁保护的原则，产品应储存通风干燥处，应有防晒、防潮、防雨措施。产品平放时底部须垫平，门框堆码高度不得超过 1.5m，门页堆码高度不超过 1.2m，产品竖放时，其倾角不大于 20°，长度不得大于 5.0m。门框、门扇出厂、运输及安装后应进行保护。塑料保护膜进行产品出厂保护，其包裹材料不应有颜色深浅变化，以避免在长期日晒过程中，门表面出现颜色不均匀变化。划痕修复:轻微划痕，进行补漆处理，肉眼观察未见色差:严重划痕，现场无法修复的，需卸下回工厂重新进行处理。</w:t>
      </w:r>
    </w:p>
    <w:p>
      <w:pPr>
        <w:widowControl/>
        <w:adjustRightInd w:val="0"/>
        <w:snapToGrid w:val="0"/>
        <w:spacing w:line="480" w:lineRule="exact"/>
        <w:ind w:firstLine="420" w:firstLineChars="200"/>
        <w:rPr>
          <w:rFonts w:cs="仿宋" w:asciiTheme="minorEastAsia" w:hAnsiTheme="minorEastAsia"/>
          <w:szCs w:val="21"/>
        </w:rPr>
      </w:pPr>
      <w:r>
        <w:rPr>
          <w:rFonts w:hint="eastAsia" w:cs="仿宋" w:asciiTheme="minorEastAsia" w:hAnsiTheme="minorEastAsia"/>
          <w:szCs w:val="21"/>
        </w:rPr>
        <w:t>20.封样要求:现场所有施工的材料需进行封样，经设计院及建设单位确认之后方可生产、备货，如未按此要求，由此产生的损失由供货商承担。</w:t>
      </w:r>
    </w:p>
    <w:p>
      <w:pPr>
        <w:widowControl/>
        <w:adjustRightInd w:val="0"/>
        <w:snapToGrid w:val="0"/>
        <w:spacing w:line="480" w:lineRule="exact"/>
        <w:ind w:firstLine="420" w:firstLineChars="200"/>
        <w:rPr>
          <w:rFonts w:cs="仿宋" w:asciiTheme="minorEastAsia" w:hAnsiTheme="minorEastAsia"/>
          <w:szCs w:val="21"/>
        </w:rPr>
      </w:pPr>
      <w:r>
        <w:rPr>
          <w:rFonts w:hint="eastAsia" w:cs="仿宋" w:asciiTheme="minorEastAsia" w:hAnsiTheme="minorEastAsia"/>
          <w:szCs w:val="21"/>
        </w:rPr>
        <w:t>21.质保期2年，计算时间以项目竣工验收合格之日起算。</w:t>
      </w:r>
    </w:p>
    <w:p>
      <w:pPr>
        <w:spacing w:line="520" w:lineRule="exact"/>
        <w:ind w:firstLine="422" w:firstLineChars="200"/>
        <w:rPr>
          <w:rFonts w:cs="仿宋" w:asciiTheme="minorEastAsia" w:hAnsiTheme="minorEastAsia"/>
          <w:b/>
          <w:bCs/>
          <w:szCs w:val="21"/>
        </w:rPr>
      </w:pPr>
      <w:r>
        <w:rPr>
          <w:rFonts w:hint="eastAsia" w:cs="仿宋_GB2312" w:asciiTheme="minorEastAsia" w:hAnsiTheme="minorEastAsia"/>
          <w:b/>
          <w:bCs/>
          <w:szCs w:val="21"/>
        </w:rPr>
        <w:t xml:space="preserve"> </w:t>
      </w:r>
      <w:r>
        <w:rPr>
          <w:rFonts w:hint="eastAsia" w:cs="仿宋" w:asciiTheme="minorEastAsia" w:hAnsiTheme="minorEastAsia"/>
          <w:b/>
          <w:bCs/>
          <w:szCs w:val="21"/>
        </w:rPr>
        <w:t>三、报价要求</w:t>
      </w:r>
    </w:p>
    <w:p>
      <w:pPr>
        <w:spacing w:line="520" w:lineRule="exact"/>
        <w:ind w:firstLine="420" w:firstLineChars="200"/>
        <w:rPr>
          <w:rFonts w:cs="仿宋" w:asciiTheme="minorEastAsia" w:hAnsiTheme="minorEastAsia"/>
          <w:szCs w:val="21"/>
        </w:rPr>
      </w:pPr>
      <w:r>
        <w:rPr>
          <w:rFonts w:hint="eastAsia" w:cs="仿宋" w:asciiTheme="minorEastAsia" w:hAnsiTheme="minorEastAsia"/>
          <w:szCs w:val="21"/>
        </w:rPr>
        <w:t>1.报价方式采用固定单价报价，单价不得超出最高控制价，</w:t>
      </w:r>
      <w:r>
        <w:rPr>
          <w:rFonts w:hint="eastAsia" w:cs="仿宋_GB2312" w:asciiTheme="minorEastAsia" w:hAnsiTheme="minorEastAsia"/>
          <w:szCs w:val="21"/>
        </w:rPr>
        <w:t>报价表中应注明产品品牌</w:t>
      </w:r>
      <w:r>
        <w:rPr>
          <w:rFonts w:hint="eastAsia" w:cs="仿宋" w:asciiTheme="minorEastAsia" w:hAnsiTheme="minorEastAsia"/>
          <w:szCs w:val="21"/>
        </w:rPr>
        <w:t>。所报价格中包</w:t>
      </w:r>
      <w:bookmarkStart w:id="223" w:name="OLE_LINK12"/>
      <w:r>
        <w:rPr>
          <w:rFonts w:hint="eastAsia" w:cs="仿宋" w:asciiTheme="minorEastAsia" w:hAnsiTheme="minorEastAsia"/>
          <w:szCs w:val="21"/>
        </w:rPr>
        <w:t>括但不限于</w:t>
      </w:r>
      <w:bookmarkStart w:id="224" w:name="_Hlk200048804"/>
      <w:r>
        <w:rPr>
          <w:rFonts w:hint="eastAsia" w:cs="仿宋" w:asciiTheme="minorEastAsia" w:hAnsiTheme="minorEastAsia"/>
          <w:szCs w:val="21"/>
        </w:rPr>
        <w:t>防火门、防火窗的设计深化、加工、制作、运输、装卸（货到工地后供应商负责卸至采购人指定楼层位置，并堆放整齐）、安装(包含五金、灌浆等)、检测、消防验收、税金等一切费用</w:t>
      </w:r>
      <w:bookmarkEnd w:id="223"/>
      <w:bookmarkEnd w:id="224"/>
      <w:r>
        <w:rPr>
          <w:rFonts w:hint="eastAsia" w:cs="仿宋" w:asciiTheme="minorEastAsia" w:hAnsiTheme="minorEastAsia"/>
          <w:szCs w:val="21"/>
        </w:rPr>
        <w:t>；</w:t>
      </w:r>
    </w:p>
    <w:p>
      <w:pPr>
        <w:spacing w:line="480" w:lineRule="exact"/>
        <w:ind w:firstLine="436" w:firstLineChars="200"/>
        <w:rPr>
          <w:rFonts w:cs="仿宋" w:asciiTheme="minorEastAsia" w:hAnsiTheme="minorEastAsia"/>
          <w:szCs w:val="21"/>
        </w:rPr>
      </w:pPr>
      <w:r>
        <w:rPr>
          <w:rFonts w:hint="eastAsia" w:cs="仿宋" w:asciiTheme="minorEastAsia" w:hAnsiTheme="minorEastAsia"/>
          <w:spacing w:val="4"/>
          <w:szCs w:val="21"/>
        </w:rPr>
        <w:t>2.采购人暂未确定门的样式或色卡，</w:t>
      </w:r>
      <w:r>
        <w:rPr>
          <w:rFonts w:hint="eastAsia" w:cs="仿宋" w:asciiTheme="minorEastAsia" w:hAnsiTheme="minorEastAsia"/>
          <w:spacing w:val="4"/>
          <w:szCs w:val="21"/>
          <w:lang w:val="zh-CN"/>
        </w:rPr>
        <w:t>报价人报价时</w:t>
      </w:r>
      <w:r>
        <w:rPr>
          <w:rFonts w:hint="eastAsia" w:cs="仿宋" w:asciiTheme="minorEastAsia" w:hAnsiTheme="minorEastAsia"/>
          <w:spacing w:val="4"/>
          <w:szCs w:val="21"/>
        </w:rPr>
        <w:t>需自行考虑前述事项因素并</w:t>
      </w:r>
      <w:r>
        <w:rPr>
          <w:rFonts w:hint="eastAsia" w:cs="仿宋" w:asciiTheme="minorEastAsia" w:hAnsiTheme="minorEastAsia"/>
          <w:spacing w:val="4"/>
          <w:szCs w:val="21"/>
          <w:lang w:val="zh-CN"/>
        </w:rPr>
        <w:t>考虑市场价格变动，以及项目实施过程中的不可预见因素，一旦成交，单价不变，总价依据实际数量计算。</w:t>
      </w:r>
    </w:p>
    <w:p>
      <w:pPr>
        <w:spacing w:after="120"/>
        <w:rPr>
          <w:rFonts w:ascii="Times New Roman" w:hAnsi="Times New Roman" w:eastAsia="宋体" w:cs="Times New Roman"/>
          <w:b/>
          <w:sz w:val="32"/>
          <w:szCs w:val="32"/>
        </w:rPr>
      </w:pPr>
    </w:p>
    <w:p>
      <w:pPr>
        <w:spacing w:after="120"/>
        <w:rPr>
          <w:rFonts w:ascii="Times New Roman" w:hAnsi="Times New Roman" w:eastAsia="宋体" w:cs="Times New Roman"/>
          <w:b/>
          <w:sz w:val="32"/>
          <w:szCs w:val="32"/>
        </w:rPr>
      </w:pPr>
    </w:p>
    <w:p>
      <w:pPr>
        <w:spacing w:after="120"/>
        <w:rPr>
          <w:rFonts w:ascii="Times New Roman" w:hAnsi="Times New Roman" w:eastAsia="宋体" w:cs="Times New Roman"/>
          <w:b/>
          <w:sz w:val="32"/>
          <w:szCs w:val="32"/>
        </w:rPr>
      </w:pPr>
    </w:p>
    <w:p>
      <w:pPr>
        <w:spacing w:after="120"/>
        <w:rPr>
          <w:rFonts w:ascii="Times New Roman" w:hAnsi="Times New Roman" w:eastAsia="宋体" w:cs="Times New Roman"/>
          <w:b/>
          <w:sz w:val="32"/>
          <w:szCs w:val="32"/>
        </w:rPr>
      </w:pPr>
    </w:p>
    <w:p>
      <w:pPr>
        <w:spacing w:after="120"/>
        <w:rPr>
          <w:rFonts w:ascii="Times New Roman" w:hAnsi="Times New Roman" w:eastAsia="宋体" w:cs="Times New Roman"/>
          <w:b/>
          <w:sz w:val="32"/>
          <w:szCs w:val="32"/>
        </w:rPr>
      </w:pPr>
    </w:p>
    <w:p>
      <w:pPr>
        <w:spacing w:after="120"/>
        <w:rPr>
          <w:rFonts w:ascii="Times New Roman" w:hAnsi="Times New Roman" w:eastAsia="宋体" w:cs="Times New Roman"/>
          <w:b/>
          <w:sz w:val="32"/>
          <w:szCs w:val="32"/>
        </w:rPr>
        <w:sectPr>
          <w:pgSz w:w="11906" w:h="16838"/>
          <w:pgMar w:top="1418" w:right="1021" w:bottom="1134" w:left="1701" w:header="851" w:footer="624" w:gutter="0"/>
          <w:cols w:space="720" w:num="1"/>
          <w:docGrid w:linePitch="312" w:charSpace="0"/>
        </w:sectPr>
      </w:pPr>
    </w:p>
    <w:p>
      <w:pPr>
        <w:spacing w:after="120"/>
        <w:rPr>
          <w:rFonts w:ascii="Times New Roman" w:hAnsi="Times New Roman" w:eastAsia="宋体" w:cs="Times New Roman"/>
          <w:b/>
          <w:sz w:val="32"/>
          <w:szCs w:val="32"/>
        </w:rPr>
      </w:pPr>
    </w:p>
    <w:p>
      <w:pPr>
        <w:spacing w:after="120"/>
        <w:jc w:val="center"/>
        <w:rPr>
          <w:rFonts w:ascii="Times New Roman" w:hAnsi="Times New Roman" w:eastAsia="宋体" w:cs="Times New Roman"/>
          <w:b/>
          <w:sz w:val="32"/>
          <w:szCs w:val="32"/>
        </w:rPr>
      </w:pPr>
      <w:r>
        <w:rPr>
          <w:rFonts w:hint="eastAsia" w:ascii="Times New Roman" w:hAnsi="Times New Roman" w:eastAsia="宋体" w:cs="Times New Roman"/>
          <w:b/>
          <w:sz w:val="32"/>
          <w:szCs w:val="32"/>
        </w:rPr>
        <w:t>第六章 投标文件格式</w:t>
      </w:r>
    </w:p>
    <w:p>
      <w:pPr>
        <w:spacing w:before="340" w:after="330" w:line="578" w:lineRule="auto"/>
        <w:outlineLvl w:val="0"/>
        <w:rPr>
          <w:rFonts w:ascii="Times New Roman" w:hAnsi="Times New Roman" w:eastAsia="宋体" w:cs="Times New Roman"/>
          <w:b/>
          <w:kern w:val="44"/>
          <w:sz w:val="28"/>
          <w:szCs w:val="28"/>
        </w:rPr>
      </w:pPr>
      <w:r>
        <w:rPr>
          <w:rFonts w:hint="eastAsia" w:ascii="Times New Roman" w:hAnsi="Times New Roman" w:eastAsia="宋体" w:cs="Times New Roman"/>
          <w:b/>
          <w:kern w:val="44"/>
          <w:sz w:val="28"/>
          <w:szCs w:val="28"/>
        </w:rPr>
        <w:t>资格审查部分</w:t>
      </w:r>
    </w:p>
    <w:p>
      <w:pPr>
        <w:spacing w:line="360" w:lineRule="auto"/>
        <w:jc w:val="center"/>
        <w:rPr>
          <w:rFonts w:ascii="Calibri" w:hAnsi="Calibri" w:eastAsia="宋体" w:cs="Times New Roman"/>
          <w:b/>
          <w:sz w:val="44"/>
          <w:szCs w:val="44"/>
        </w:rPr>
      </w:pPr>
      <w:r>
        <w:rPr>
          <w:rFonts w:ascii="Calibri" w:hAnsi="Calibri" w:eastAsia="宋体" w:cs="Times New Roman"/>
          <w:b/>
          <w:sz w:val="44"/>
          <w:szCs w:val="44"/>
        </w:rPr>
        <w:t>投标申请人资格</w:t>
      </w:r>
      <w:r>
        <w:rPr>
          <w:rFonts w:hint="eastAsia" w:ascii="Calibri" w:hAnsi="Calibri" w:eastAsia="宋体" w:cs="Times New Roman"/>
          <w:b/>
          <w:sz w:val="44"/>
          <w:szCs w:val="44"/>
        </w:rPr>
        <w:t>审查</w:t>
      </w:r>
    </w:p>
    <w:p>
      <w:pPr>
        <w:spacing w:line="360" w:lineRule="auto"/>
        <w:jc w:val="center"/>
        <w:rPr>
          <w:rFonts w:ascii="Calibri" w:hAnsi="Calibri" w:eastAsia="宋体" w:cs="Times New Roman"/>
          <w:b/>
          <w:sz w:val="44"/>
          <w:szCs w:val="44"/>
        </w:rPr>
      </w:pPr>
      <w:r>
        <w:rPr>
          <w:rFonts w:ascii="Calibri" w:hAnsi="Calibri" w:eastAsia="宋体" w:cs="Times New Roman"/>
          <w:b/>
          <w:sz w:val="44"/>
          <w:szCs w:val="44"/>
        </w:rPr>
        <w:t>申请书</w:t>
      </w:r>
    </w:p>
    <w:p>
      <w:pPr>
        <w:spacing w:line="360" w:lineRule="auto"/>
        <w:rPr>
          <w:rFonts w:ascii="Calibri" w:hAnsi="Calibri" w:eastAsia="宋体" w:cs="Times New Roman"/>
          <w:sz w:val="10"/>
          <w:szCs w:val="20"/>
        </w:rPr>
      </w:pPr>
    </w:p>
    <w:p>
      <w:pPr>
        <w:snapToGrid w:val="0"/>
        <w:spacing w:line="360" w:lineRule="auto"/>
        <w:ind w:firstLine="1751" w:firstLineChars="545"/>
        <w:rPr>
          <w:rFonts w:ascii="Calibri" w:hAnsi="Calibri" w:eastAsia="宋体" w:cs="Times New Roman"/>
          <w:b/>
          <w:sz w:val="30"/>
          <w:szCs w:val="20"/>
          <w:u w:val="single"/>
        </w:rPr>
      </w:pPr>
      <w:r>
        <w:rPr>
          <w:rFonts w:hint="eastAsia" w:ascii="Calibri" w:hAnsi="Calibri" w:eastAsia="宋体" w:cs="Times New Roman"/>
          <w:b/>
          <w:sz w:val="32"/>
          <w:szCs w:val="20"/>
        </w:rPr>
        <w:t>标段</w:t>
      </w:r>
      <w:r>
        <w:rPr>
          <w:rFonts w:ascii="Calibri" w:hAnsi="Calibri" w:eastAsia="宋体" w:cs="Times New Roman"/>
          <w:b/>
          <w:sz w:val="32"/>
          <w:szCs w:val="20"/>
        </w:rPr>
        <w:t>名称</w:t>
      </w:r>
      <w:r>
        <w:rPr>
          <w:rFonts w:ascii="Calibri" w:hAnsi="Calibri" w:eastAsia="宋体" w:cs="Times New Roman"/>
          <w:b/>
          <w:sz w:val="30"/>
          <w:szCs w:val="20"/>
        </w:rPr>
        <w:t>：</w:t>
      </w:r>
    </w:p>
    <w:p>
      <w:pPr>
        <w:spacing w:line="360" w:lineRule="auto"/>
        <w:ind w:firstLine="1751" w:firstLineChars="545"/>
        <w:rPr>
          <w:rFonts w:ascii="Calibri" w:hAnsi="Calibri" w:eastAsia="宋体" w:cs="Times New Roman"/>
          <w:b/>
          <w:szCs w:val="20"/>
          <w:u w:val="single"/>
        </w:rPr>
      </w:pPr>
      <w:r>
        <w:rPr>
          <w:rFonts w:hint="eastAsia" w:ascii="Calibri" w:hAnsi="Calibri" w:eastAsia="宋体" w:cs="Times New Roman"/>
          <w:b/>
          <w:sz w:val="32"/>
          <w:szCs w:val="20"/>
        </w:rPr>
        <w:t>标段</w:t>
      </w:r>
      <w:r>
        <w:rPr>
          <w:rFonts w:ascii="Calibri" w:hAnsi="Calibri" w:eastAsia="宋体" w:cs="Times New Roman"/>
          <w:b/>
          <w:sz w:val="32"/>
          <w:szCs w:val="20"/>
        </w:rPr>
        <w:t>编号：</w:t>
      </w:r>
    </w:p>
    <w:p>
      <w:pPr>
        <w:spacing w:line="360" w:lineRule="auto"/>
        <w:rPr>
          <w:rFonts w:ascii="Calibri" w:hAnsi="Calibri" w:eastAsia="宋体" w:cs="Times New Roman"/>
          <w:szCs w:val="20"/>
        </w:rPr>
      </w:pPr>
    </w:p>
    <w:p>
      <w:pPr>
        <w:spacing w:line="360" w:lineRule="auto"/>
        <w:rPr>
          <w:rFonts w:ascii="Calibri" w:hAnsi="Calibri" w:eastAsia="宋体" w:cs="Times New Roman"/>
          <w:b/>
          <w:szCs w:val="20"/>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spacing w:line="360" w:lineRule="auto"/>
        <w:rPr>
          <w:rFonts w:ascii="Calibri" w:hAnsi="Calibri" w:eastAsia="宋体" w:cs="Times New Roman"/>
          <w:b/>
          <w:sz w:val="36"/>
          <w:szCs w:val="20"/>
          <w:u w:val="single"/>
        </w:rPr>
      </w:pPr>
    </w:p>
    <w:p>
      <w:pPr>
        <w:spacing w:line="360" w:lineRule="auto"/>
        <w:rPr>
          <w:rFonts w:ascii="Calibri" w:hAnsi="Calibri" w:eastAsia="宋体" w:cs="Times New Roman"/>
          <w:b/>
          <w:sz w:val="36"/>
          <w:szCs w:val="20"/>
        </w:rPr>
      </w:pPr>
    </w:p>
    <w:p>
      <w:pPr>
        <w:snapToGrid w:val="0"/>
        <w:spacing w:line="360" w:lineRule="auto"/>
        <w:ind w:firstLine="405" w:firstLineChars="168"/>
        <w:rPr>
          <w:rFonts w:ascii="Calibri" w:hAnsi="Calibri" w:eastAsia="宋体" w:cs="Times New Roman"/>
          <w:b/>
          <w:sz w:val="24"/>
          <w:szCs w:val="20"/>
        </w:rPr>
      </w:pPr>
    </w:p>
    <w:p>
      <w:pPr>
        <w:spacing w:line="360" w:lineRule="auto"/>
        <w:ind w:firstLine="472" w:firstLineChars="168"/>
        <w:rPr>
          <w:rFonts w:ascii="Times New Roman" w:hAnsi="Times New Roman" w:eastAsia="宋体" w:cs="Times New Roman"/>
          <w:b/>
          <w:sz w:val="28"/>
          <w:szCs w:val="28"/>
          <w:u w:val="single"/>
        </w:rPr>
      </w:pPr>
      <w:r>
        <w:rPr>
          <w:rFonts w:ascii="Times New Roman" w:hAnsi="Times New Roman" w:eastAsia="宋体" w:cs="Times New Roman"/>
          <w:b/>
          <w:sz w:val="28"/>
          <w:szCs w:val="28"/>
        </w:rPr>
        <w:t>投标申请人：</w:t>
      </w:r>
      <w:r>
        <w:rPr>
          <w:rFonts w:hint="eastAsia" w:ascii="Times New Roman" w:hAnsi="Times New Roman" w:eastAsia="宋体" w:cs="Times New Roman"/>
          <w:b/>
          <w:sz w:val="28"/>
          <w:szCs w:val="28"/>
          <w:u w:val="single"/>
        </w:rPr>
        <w:t xml:space="preserve">                            </w:t>
      </w:r>
      <w:r>
        <w:rPr>
          <w:rFonts w:ascii="Times New Roman" w:hAnsi="Times New Roman" w:eastAsia="宋体" w:cs="Times New Roman"/>
          <w:b/>
          <w:sz w:val="28"/>
          <w:szCs w:val="28"/>
          <w:u w:val="single"/>
        </w:rPr>
        <w:t>（盖章）</w:t>
      </w:r>
    </w:p>
    <w:p>
      <w:pPr>
        <w:spacing w:line="360" w:lineRule="auto"/>
        <w:ind w:firstLine="472" w:firstLineChars="168"/>
        <w:rPr>
          <w:rFonts w:ascii="Times New Roman" w:hAnsi="Times New Roman" w:eastAsia="宋体" w:cs="Times New Roman"/>
          <w:b/>
          <w:sz w:val="28"/>
          <w:szCs w:val="28"/>
        </w:rPr>
      </w:pPr>
      <w:r>
        <w:rPr>
          <w:rFonts w:ascii="Times New Roman" w:hAnsi="Times New Roman" w:eastAsia="宋体" w:cs="Times New Roman"/>
          <w:b/>
          <w:sz w:val="28"/>
          <w:szCs w:val="28"/>
        </w:rPr>
        <w:t xml:space="preserve"> 法定代表人</w:t>
      </w:r>
      <w:r>
        <w:rPr>
          <w:rFonts w:hint="eastAsia" w:ascii="Times New Roman" w:hAnsi="Times New Roman" w:eastAsia="宋体" w:cs="Times New Roman"/>
          <w:b/>
          <w:sz w:val="28"/>
          <w:szCs w:val="28"/>
        </w:rPr>
        <w:t xml:space="preserve">： </w:t>
      </w:r>
      <w:r>
        <w:rPr>
          <w:rFonts w:hint="eastAsia" w:ascii="Times New Roman" w:hAnsi="Times New Roman" w:eastAsia="宋体" w:cs="Times New Roman"/>
          <w:b/>
          <w:sz w:val="28"/>
          <w:szCs w:val="28"/>
          <w:u w:val="single"/>
        </w:rPr>
        <w:t xml:space="preserve">                           </w:t>
      </w:r>
      <w:r>
        <w:rPr>
          <w:rFonts w:ascii="Times New Roman" w:hAnsi="Times New Roman" w:eastAsia="宋体" w:cs="Times New Roman"/>
          <w:b/>
          <w:sz w:val="28"/>
          <w:szCs w:val="28"/>
          <w:u w:val="single"/>
        </w:rPr>
        <w:t>（盖章）</w:t>
      </w:r>
    </w:p>
    <w:p>
      <w:pPr>
        <w:spacing w:line="360" w:lineRule="auto"/>
        <w:ind w:firstLine="472" w:firstLineChars="168"/>
        <w:rPr>
          <w:rFonts w:ascii="Times New Roman" w:hAnsi="Times New Roman" w:eastAsia="宋体" w:cs="Times New Roman"/>
          <w:b/>
          <w:sz w:val="28"/>
          <w:szCs w:val="28"/>
          <w:u w:val="single"/>
        </w:rPr>
      </w:pPr>
      <w:r>
        <w:rPr>
          <w:rFonts w:ascii="Times New Roman" w:hAnsi="Times New Roman" w:eastAsia="宋体" w:cs="Times New Roman"/>
          <w:b/>
          <w:sz w:val="28"/>
          <w:szCs w:val="28"/>
        </w:rPr>
        <w:t>委托代理人：</w:t>
      </w:r>
      <w:r>
        <w:rPr>
          <w:rFonts w:ascii="Times New Roman" w:hAnsi="Times New Roman" w:eastAsia="宋体" w:cs="Times New Roman"/>
          <w:b/>
          <w:sz w:val="28"/>
          <w:szCs w:val="28"/>
          <w:u w:val="single"/>
        </w:rPr>
        <w:t xml:space="preserve">  </w:t>
      </w:r>
      <w:r>
        <w:rPr>
          <w:rFonts w:ascii="Times New Roman" w:hAnsi="Times New Roman" w:eastAsia="宋体" w:cs="Times New Roman"/>
          <w:b/>
          <w:sz w:val="28"/>
          <w:szCs w:val="28"/>
          <w:u w:val="single"/>
        </w:rPr>
        <w:tab/>
      </w:r>
      <w:r>
        <w:rPr>
          <w:rFonts w:ascii="Times New Roman" w:hAnsi="Times New Roman" w:eastAsia="宋体" w:cs="Times New Roman"/>
          <w:b/>
          <w:sz w:val="28"/>
          <w:szCs w:val="28"/>
          <w:u w:val="single"/>
        </w:rPr>
        <w:t xml:space="preserve">      </w:t>
      </w:r>
      <w:r>
        <w:rPr>
          <w:rFonts w:hint="eastAsia" w:ascii="Times New Roman" w:hAnsi="Times New Roman" w:eastAsia="宋体" w:cs="Times New Roman"/>
          <w:b/>
          <w:sz w:val="28"/>
          <w:szCs w:val="28"/>
          <w:u w:val="single"/>
        </w:rPr>
        <w:t xml:space="preserve">              </w:t>
      </w:r>
      <w:r>
        <w:rPr>
          <w:rFonts w:ascii="Times New Roman" w:hAnsi="Times New Roman" w:eastAsia="宋体" w:cs="Times New Roman"/>
          <w:b/>
          <w:sz w:val="28"/>
          <w:szCs w:val="28"/>
          <w:u w:val="single"/>
        </w:rPr>
        <w:t>（签字</w:t>
      </w:r>
      <w:r>
        <w:rPr>
          <w:rFonts w:hint="eastAsia" w:ascii="Times New Roman" w:hAnsi="Times New Roman" w:eastAsia="宋体" w:cs="Times New Roman"/>
          <w:b/>
          <w:sz w:val="28"/>
          <w:szCs w:val="28"/>
          <w:u w:val="single"/>
        </w:rPr>
        <w:t>或</w:t>
      </w:r>
      <w:r>
        <w:rPr>
          <w:rFonts w:ascii="Times New Roman" w:hAnsi="Times New Roman" w:eastAsia="宋体" w:cs="Times New Roman"/>
          <w:b/>
          <w:sz w:val="28"/>
          <w:szCs w:val="28"/>
          <w:u w:val="single"/>
        </w:rPr>
        <w:t>盖章）</w:t>
      </w:r>
    </w:p>
    <w:p>
      <w:pPr>
        <w:spacing w:line="360" w:lineRule="auto"/>
        <w:ind w:firstLine="472" w:firstLineChars="168"/>
        <w:rPr>
          <w:rFonts w:ascii="Times New Roman" w:hAnsi="Times New Roman" w:eastAsia="宋体" w:cs="Times New Roman"/>
          <w:b/>
          <w:sz w:val="28"/>
          <w:szCs w:val="28"/>
        </w:rPr>
      </w:pPr>
      <w:r>
        <w:rPr>
          <w:rFonts w:hint="eastAsia" w:ascii="Times New Roman" w:hAnsi="Times New Roman" w:eastAsia="宋体" w:cs="Times New Roman"/>
          <w:b/>
          <w:sz w:val="28"/>
          <w:szCs w:val="28"/>
        </w:rPr>
        <w:t xml:space="preserve">地     </w:t>
      </w:r>
      <w:r>
        <w:rPr>
          <w:rFonts w:ascii="Times New Roman" w:hAnsi="Times New Roman" w:eastAsia="宋体" w:cs="Times New Roman"/>
          <w:b/>
          <w:sz w:val="28"/>
          <w:szCs w:val="28"/>
        </w:rPr>
        <w:t>址：</w:t>
      </w:r>
      <w:r>
        <w:rPr>
          <w:rFonts w:ascii="Times New Roman" w:hAnsi="Times New Roman" w:eastAsia="宋体" w:cs="Times New Roman"/>
          <w:b/>
          <w:sz w:val="28"/>
          <w:szCs w:val="28"/>
          <w:u w:val="single"/>
        </w:rPr>
        <w:t xml:space="preserve">   </w:t>
      </w:r>
      <w:r>
        <w:rPr>
          <w:rFonts w:hint="eastAsia" w:ascii="Times New Roman" w:hAnsi="Times New Roman" w:eastAsia="宋体" w:cs="Times New Roman"/>
          <w:b/>
          <w:sz w:val="28"/>
          <w:szCs w:val="28"/>
          <w:u w:val="single"/>
        </w:rPr>
        <w:t xml:space="preserve">    </w:t>
      </w:r>
      <w:r>
        <w:rPr>
          <w:rFonts w:ascii="Times New Roman" w:hAnsi="Times New Roman" w:eastAsia="宋体" w:cs="Times New Roman"/>
          <w:b/>
          <w:sz w:val="28"/>
          <w:szCs w:val="28"/>
          <w:u w:val="single"/>
        </w:rPr>
        <w:t xml:space="preserve">   </w:t>
      </w:r>
      <w:r>
        <w:rPr>
          <w:rFonts w:hint="eastAsia" w:ascii="Times New Roman" w:hAnsi="Times New Roman" w:eastAsia="宋体" w:cs="Times New Roman"/>
          <w:b/>
          <w:sz w:val="28"/>
          <w:szCs w:val="28"/>
          <w:u w:val="single"/>
        </w:rPr>
        <w:t xml:space="preserve">                         </w:t>
      </w:r>
      <w:r>
        <w:rPr>
          <w:rFonts w:ascii="Times New Roman" w:hAnsi="Times New Roman" w:eastAsia="宋体" w:cs="Times New Roman"/>
          <w:b/>
          <w:sz w:val="28"/>
          <w:szCs w:val="28"/>
          <w:u w:val="single"/>
        </w:rPr>
        <w:t xml:space="preserve">     </w:t>
      </w:r>
    </w:p>
    <w:p>
      <w:pPr>
        <w:spacing w:line="360" w:lineRule="auto"/>
        <w:rPr>
          <w:rFonts w:ascii="Calibri" w:hAnsi="Calibri" w:eastAsia="宋体" w:cs="Times New Roman"/>
          <w:b/>
          <w:sz w:val="28"/>
          <w:szCs w:val="28"/>
        </w:rPr>
      </w:pPr>
    </w:p>
    <w:p>
      <w:pPr>
        <w:spacing w:line="360" w:lineRule="auto"/>
        <w:ind w:firstLine="2173" w:firstLineChars="773"/>
        <w:rPr>
          <w:rFonts w:ascii="Calibri" w:hAnsi="Calibri" w:eastAsia="宋体" w:cs="Times New Roman"/>
          <w:b/>
          <w:sz w:val="28"/>
          <w:szCs w:val="28"/>
        </w:rPr>
      </w:pPr>
      <w:r>
        <w:rPr>
          <w:rFonts w:ascii="Calibri" w:hAnsi="Calibri" w:eastAsia="宋体" w:cs="Times New Roman"/>
          <w:b/>
          <w:sz w:val="28"/>
          <w:szCs w:val="28"/>
        </w:rPr>
        <w:t>日</w:t>
      </w:r>
      <w:r>
        <w:rPr>
          <w:rFonts w:hint="eastAsia" w:ascii="Calibri" w:hAnsi="Calibri" w:eastAsia="宋体" w:cs="Times New Roman"/>
          <w:b/>
          <w:sz w:val="28"/>
          <w:szCs w:val="28"/>
        </w:rPr>
        <w:t xml:space="preserve">  </w:t>
      </w:r>
      <w:r>
        <w:rPr>
          <w:rFonts w:ascii="Calibri" w:hAnsi="Calibri" w:eastAsia="宋体" w:cs="Times New Roman"/>
          <w:b/>
          <w:sz w:val="28"/>
          <w:szCs w:val="28"/>
        </w:rPr>
        <w:t>期：</w:t>
      </w:r>
      <w:r>
        <w:rPr>
          <w:rFonts w:hint="eastAsia" w:ascii="Calibri" w:hAnsi="Calibri" w:eastAsia="宋体" w:cs="Times New Roman"/>
          <w:b/>
          <w:sz w:val="28"/>
          <w:szCs w:val="28"/>
        </w:rPr>
        <w:t xml:space="preserve">   </w:t>
      </w:r>
      <w:r>
        <w:rPr>
          <w:rFonts w:ascii="Calibri" w:hAnsi="Calibri" w:eastAsia="宋体" w:cs="Times New Roman"/>
          <w:b/>
          <w:sz w:val="28"/>
          <w:szCs w:val="28"/>
        </w:rPr>
        <w:t>年</w:t>
      </w:r>
      <w:r>
        <w:rPr>
          <w:rFonts w:hint="eastAsia" w:ascii="Calibri" w:hAnsi="Calibri" w:eastAsia="宋体" w:cs="Times New Roman"/>
          <w:b/>
          <w:sz w:val="28"/>
          <w:szCs w:val="28"/>
        </w:rPr>
        <w:t xml:space="preserve">  </w:t>
      </w:r>
      <w:r>
        <w:rPr>
          <w:rFonts w:ascii="Calibri" w:hAnsi="Calibri" w:eastAsia="宋体" w:cs="Times New Roman"/>
          <w:b/>
          <w:sz w:val="28"/>
          <w:szCs w:val="28"/>
        </w:rPr>
        <w:t>月</w:t>
      </w:r>
      <w:r>
        <w:rPr>
          <w:rFonts w:hint="eastAsia" w:ascii="Calibri" w:hAnsi="Calibri" w:eastAsia="宋体" w:cs="Times New Roman"/>
          <w:b/>
          <w:sz w:val="28"/>
          <w:szCs w:val="28"/>
        </w:rPr>
        <w:t xml:space="preserve">   </w:t>
      </w:r>
      <w:r>
        <w:rPr>
          <w:rFonts w:ascii="Calibri" w:hAnsi="Calibri" w:eastAsia="宋体" w:cs="Times New Roman"/>
          <w:b/>
          <w:sz w:val="28"/>
          <w:szCs w:val="28"/>
        </w:rPr>
        <w:t>日</w:t>
      </w:r>
    </w:p>
    <w:p>
      <w:pPr>
        <w:tabs>
          <w:tab w:val="left" w:pos="1300"/>
          <w:tab w:val="left" w:pos="1600"/>
        </w:tabs>
        <w:spacing w:line="480" w:lineRule="exact"/>
        <w:ind w:firstLine="703" w:firstLineChars="250"/>
        <w:jc w:val="center"/>
        <w:rPr>
          <w:rFonts w:ascii="Calibri" w:hAnsi="Calibri" w:eastAsia="宋体" w:cs="Times New Roman"/>
          <w:b/>
          <w:kern w:val="0"/>
          <w:sz w:val="28"/>
          <w:szCs w:val="28"/>
        </w:rPr>
      </w:pPr>
    </w:p>
    <w:p>
      <w:pPr>
        <w:tabs>
          <w:tab w:val="left" w:pos="1300"/>
          <w:tab w:val="left" w:pos="1600"/>
        </w:tabs>
        <w:spacing w:line="480" w:lineRule="exact"/>
        <w:jc w:val="center"/>
        <w:rPr>
          <w:rFonts w:ascii="Calibri" w:hAnsi="Calibri" w:eastAsia="宋体" w:cs="Times New Roman"/>
          <w:b/>
          <w:kern w:val="0"/>
          <w:sz w:val="44"/>
          <w:szCs w:val="44"/>
        </w:rPr>
      </w:pPr>
    </w:p>
    <w:p>
      <w:pPr>
        <w:tabs>
          <w:tab w:val="left" w:pos="1300"/>
          <w:tab w:val="left" w:pos="1600"/>
        </w:tabs>
        <w:spacing w:line="480" w:lineRule="exact"/>
        <w:jc w:val="center"/>
        <w:rPr>
          <w:rFonts w:ascii="Calibri" w:hAnsi="Calibri" w:eastAsia="宋体" w:cs="Times New Roman"/>
          <w:b/>
          <w:kern w:val="0"/>
          <w:sz w:val="44"/>
          <w:szCs w:val="44"/>
        </w:rPr>
      </w:pPr>
    </w:p>
    <w:p>
      <w:pPr>
        <w:tabs>
          <w:tab w:val="left" w:pos="1300"/>
          <w:tab w:val="left" w:pos="1600"/>
        </w:tabs>
        <w:spacing w:line="480" w:lineRule="exact"/>
        <w:jc w:val="center"/>
        <w:rPr>
          <w:rFonts w:ascii="Calibri" w:hAnsi="Calibri" w:eastAsia="宋体" w:cs="Times New Roman"/>
          <w:b/>
          <w:kern w:val="0"/>
          <w:sz w:val="44"/>
          <w:szCs w:val="44"/>
        </w:rPr>
      </w:pPr>
    </w:p>
    <w:p>
      <w:pPr>
        <w:tabs>
          <w:tab w:val="left" w:pos="1300"/>
          <w:tab w:val="left" w:pos="1600"/>
        </w:tabs>
        <w:spacing w:line="480" w:lineRule="exact"/>
        <w:jc w:val="center"/>
        <w:rPr>
          <w:rFonts w:ascii="Calibri" w:hAnsi="Calibri" w:eastAsia="宋体" w:cs="Times New Roman"/>
          <w:b/>
          <w:kern w:val="0"/>
          <w:sz w:val="44"/>
          <w:szCs w:val="44"/>
        </w:rPr>
      </w:pPr>
      <w:r>
        <w:rPr>
          <w:rFonts w:hint="eastAsia" w:ascii="Calibri" w:hAnsi="Calibri" w:eastAsia="宋体" w:cs="Times New Roman"/>
          <w:b/>
          <w:kern w:val="0"/>
          <w:sz w:val="44"/>
          <w:szCs w:val="44"/>
        </w:rPr>
        <w:t>目  录</w:t>
      </w:r>
    </w:p>
    <w:p>
      <w:pPr>
        <w:tabs>
          <w:tab w:val="left" w:pos="1300"/>
          <w:tab w:val="left" w:pos="1600"/>
        </w:tabs>
        <w:spacing w:line="480" w:lineRule="exact"/>
        <w:ind w:firstLine="1104" w:firstLineChars="250"/>
        <w:jc w:val="center"/>
        <w:rPr>
          <w:rFonts w:ascii="Calibri" w:hAnsi="Calibri" w:eastAsia="宋体" w:cs="Times New Roman"/>
          <w:b/>
          <w:kern w:val="0"/>
          <w:sz w:val="44"/>
          <w:szCs w:val="44"/>
        </w:rPr>
      </w:pPr>
    </w:p>
    <w:p>
      <w:pPr>
        <w:tabs>
          <w:tab w:val="left" w:pos="1300"/>
          <w:tab w:val="left" w:pos="1600"/>
        </w:tabs>
        <w:spacing w:line="380" w:lineRule="exact"/>
        <w:ind w:firstLine="420" w:firstLineChars="200"/>
        <w:rPr>
          <w:rFonts w:ascii="Calibri" w:hAnsi="Calibri" w:eastAsia="宋体" w:cs="Times New Roman"/>
          <w:kern w:val="0"/>
          <w:szCs w:val="21"/>
        </w:rPr>
      </w:pPr>
      <w:r>
        <w:rPr>
          <w:rFonts w:hint="eastAsia" w:ascii="Calibri" w:hAnsi="Calibri" w:eastAsia="宋体" w:cs="Times New Roman"/>
          <w:kern w:val="0"/>
          <w:szCs w:val="21"/>
        </w:rPr>
        <w:t>（1）法定代表人身份证明或附有法定代表人身份证明的授权委托书；</w:t>
      </w:r>
    </w:p>
    <w:p>
      <w:pPr>
        <w:tabs>
          <w:tab w:val="left" w:pos="1300"/>
          <w:tab w:val="left" w:pos="1600"/>
        </w:tabs>
        <w:spacing w:line="380" w:lineRule="exact"/>
        <w:ind w:firstLine="420" w:firstLineChars="200"/>
        <w:rPr>
          <w:rFonts w:ascii="Calibri" w:hAnsi="Calibri" w:eastAsia="宋体" w:cs="Times New Roman"/>
          <w:kern w:val="0"/>
          <w:szCs w:val="21"/>
        </w:rPr>
      </w:pPr>
      <w:r>
        <w:rPr>
          <w:rFonts w:hint="eastAsia" w:ascii="Calibri" w:hAnsi="Calibri" w:eastAsia="宋体" w:cs="Times New Roman"/>
          <w:kern w:val="0"/>
          <w:szCs w:val="21"/>
        </w:rPr>
        <w:t>（2）</w:t>
      </w:r>
      <w:r>
        <w:rPr>
          <w:rFonts w:ascii="Calibri" w:hAnsi="Calibri" w:eastAsia="宋体" w:cs="Times New Roman"/>
          <w:kern w:val="0"/>
          <w:szCs w:val="21"/>
        </w:rPr>
        <w:t>申请资格审查人简介</w:t>
      </w:r>
      <w:r>
        <w:rPr>
          <w:rFonts w:hint="eastAsia" w:ascii="Calibri" w:hAnsi="Calibri" w:eastAsia="宋体" w:cs="Times New Roman"/>
          <w:kern w:val="0"/>
          <w:szCs w:val="21"/>
        </w:rPr>
        <w:t>；</w:t>
      </w:r>
    </w:p>
    <w:p>
      <w:pPr>
        <w:tabs>
          <w:tab w:val="left" w:pos="1300"/>
          <w:tab w:val="left" w:pos="1600"/>
        </w:tabs>
        <w:spacing w:line="380" w:lineRule="exact"/>
        <w:ind w:firstLine="420" w:firstLineChars="200"/>
        <w:rPr>
          <w:rFonts w:ascii="Calibri" w:hAnsi="Calibri" w:eastAsia="宋体" w:cs="Times New Roman"/>
          <w:kern w:val="0"/>
          <w:szCs w:val="21"/>
        </w:rPr>
      </w:pPr>
      <w:r>
        <w:rPr>
          <w:rFonts w:hint="eastAsia" w:ascii="Calibri" w:hAnsi="Calibri" w:eastAsia="宋体" w:cs="Times New Roman"/>
          <w:kern w:val="0"/>
          <w:szCs w:val="21"/>
        </w:rPr>
        <w:t>（3）投标人企业营业执照；</w:t>
      </w:r>
    </w:p>
    <w:p>
      <w:pPr>
        <w:tabs>
          <w:tab w:val="left" w:pos="1300"/>
          <w:tab w:val="left" w:pos="1600"/>
        </w:tabs>
        <w:spacing w:line="380" w:lineRule="exact"/>
        <w:ind w:firstLine="420" w:firstLineChars="200"/>
        <w:rPr>
          <w:rFonts w:ascii="Calibri" w:hAnsi="Calibri" w:eastAsia="宋体" w:cs="Calibri"/>
          <w:kern w:val="0"/>
          <w:szCs w:val="21"/>
          <w:shd w:val="clear" w:color="auto" w:fill="FFFFFF"/>
        </w:rPr>
      </w:pPr>
      <w:r>
        <w:rPr>
          <w:rFonts w:hint="eastAsia" w:ascii="Calibri" w:hAnsi="Calibri" w:eastAsia="宋体" w:cs="Calibri"/>
          <w:kern w:val="0"/>
          <w:szCs w:val="21"/>
          <w:shd w:val="clear" w:color="auto" w:fill="FFFFFF"/>
        </w:rPr>
        <w:t>（4）</w:t>
      </w:r>
      <w:r>
        <w:rPr>
          <w:rFonts w:hint="eastAsia" w:ascii="Times New Roman" w:hAnsi="Times New Roman" w:eastAsia="宋体" w:cs="Times New Roman"/>
          <w:szCs w:val="21"/>
        </w:rPr>
        <w:t>投标人为授权委托人、项目负责人缴纳</w:t>
      </w:r>
      <w:r>
        <w:rPr>
          <w:rFonts w:hint="eastAsia" w:ascii="宋体" w:hAnsi="宋体" w:eastAsia="宋体" w:cs="宋体"/>
          <w:color w:val="0000FF"/>
          <w:szCs w:val="21"/>
        </w:rPr>
        <w:t>（2025年3月-2025年5月）</w:t>
      </w:r>
      <w:r>
        <w:rPr>
          <w:rFonts w:hint="eastAsia" w:ascii="宋体" w:hAnsi="宋体" w:eastAsia="宋体" w:cs="宋体"/>
          <w:color w:val="000000"/>
          <w:szCs w:val="21"/>
        </w:rPr>
        <w:t>任意一个月</w:t>
      </w:r>
      <w:r>
        <w:rPr>
          <w:rFonts w:hint="eastAsia" w:ascii="Times New Roman" w:hAnsi="Times New Roman" w:eastAsia="宋体" w:cs="Times New Roman"/>
          <w:color w:val="000000"/>
          <w:szCs w:val="21"/>
        </w:rPr>
        <w:t>在职职工养老保险的证明材料；采用网上自助查询方式的，如当地社保管理部门明确的最大查询期与招标文件规定的月份不一致时，须提供社保管理部门的文件）</w:t>
      </w:r>
      <w:r>
        <w:rPr>
          <w:rFonts w:hint="eastAsia" w:ascii="Calibri" w:hAnsi="Calibri" w:eastAsia="宋体" w:cs="Calibri"/>
          <w:kern w:val="0"/>
          <w:szCs w:val="21"/>
          <w:shd w:val="clear" w:color="auto" w:fill="FFFFFF"/>
        </w:rPr>
        <w:t>;</w:t>
      </w:r>
    </w:p>
    <w:p>
      <w:pPr>
        <w:shd w:val="solid" w:color="FFFFFF" w:fill="auto"/>
        <w:spacing w:line="380" w:lineRule="exact"/>
        <w:ind w:firstLine="420" w:firstLineChars="200"/>
        <w:jc w:val="left"/>
        <w:rPr>
          <w:rFonts w:ascii="Calibri" w:hAnsi="Calibri" w:eastAsia="宋体" w:cs="Calibri"/>
          <w:kern w:val="0"/>
          <w:szCs w:val="21"/>
          <w:shd w:val="clear" w:color="auto" w:fill="FFFFFF"/>
        </w:rPr>
      </w:pPr>
      <w:r>
        <w:rPr>
          <w:rFonts w:hint="eastAsia" w:ascii="Calibri" w:hAnsi="Calibri" w:eastAsia="宋体" w:cs="Calibri"/>
          <w:kern w:val="0"/>
          <w:szCs w:val="21"/>
          <w:shd w:val="clear" w:color="auto" w:fill="FFFFFF"/>
        </w:rPr>
        <w:t>（5）</w:t>
      </w:r>
      <w:r>
        <w:rPr>
          <w:rFonts w:hint="eastAsia" w:ascii="宋体" w:hAnsi="宋体" w:eastAsia="宋体" w:cs="宋体"/>
          <w:szCs w:val="21"/>
        </w:rPr>
        <w:t>具备履行合同所必需的设备和专业技术能力的书面声明；</w:t>
      </w:r>
    </w:p>
    <w:p>
      <w:pPr>
        <w:tabs>
          <w:tab w:val="left" w:pos="1300"/>
          <w:tab w:val="left" w:pos="1600"/>
        </w:tabs>
        <w:spacing w:line="380" w:lineRule="exact"/>
        <w:ind w:firstLine="420" w:firstLineChars="200"/>
        <w:rPr>
          <w:rFonts w:ascii="宋体" w:hAnsi="宋体" w:eastAsia="宋体" w:cs="宋体"/>
          <w:szCs w:val="21"/>
        </w:rPr>
      </w:pPr>
      <w:r>
        <w:rPr>
          <w:rFonts w:hint="eastAsia" w:ascii="Calibri" w:hAnsi="Calibri" w:eastAsia="宋体" w:cs="Times New Roman"/>
          <w:kern w:val="0"/>
          <w:szCs w:val="21"/>
        </w:rPr>
        <w:t>（6）</w:t>
      </w:r>
      <w:r>
        <w:rPr>
          <w:rFonts w:hint="eastAsia" w:ascii="宋体" w:hAnsi="宋体" w:eastAsia="宋体" w:cs="宋体"/>
          <w:szCs w:val="21"/>
        </w:rPr>
        <w:t>投标人2025年2月至2025年4月内任意一份依法纳税的缴款凭证（投标人依法享受缓缴、免缴的提供证明材料）；</w:t>
      </w:r>
    </w:p>
    <w:p>
      <w:pPr>
        <w:tabs>
          <w:tab w:val="left" w:pos="1300"/>
          <w:tab w:val="left" w:pos="1600"/>
        </w:tabs>
        <w:spacing w:line="380" w:lineRule="exact"/>
        <w:ind w:firstLine="420" w:firstLineChars="200"/>
        <w:rPr>
          <w:rFonts w:ascii="宋体" w:hAnsi="宋体" w:eastAsia="宋体" w:cs="宋体"/>
          <w:szCs w:val="21"/>
        </w:rPr>
      </w:pPr>
      <w:r>
        <w:rPr>
          <w:rFonts w:hint="eastAsia" w:ascii="宋体" w:hAnsi="宋体" w:eastAsia="宋体" w:cs="宋体"/>
          <w:szCs w:val="21"/>
        </w:rPr>
        <w:t>（7）税务、银行或社会保险基金管理部门出具的2025年2月至2025年4月内任意一个月缴纳职工社会保障资金的缴款凭证或缴款证明（投标人依法享受缓缴、免缴的提供证明材料）；</w:t>
      </w:r>
    </w:p>
    <w:p>
      <w:pPr>
        <w:spacing w:after="120"/>
        <w:ind w:firstLine="420" w:firstLineChars="200"/>
        <w:rPr>
          <w:rFonts w:ascii="宋体" w:hAnsi="宋体" w:eastAsia="宋体" w:cs="宋体"/>
          <w:szCs w:val="21"/>
        </w:rPr>
      </w:pPr>
      <w:r>
        <w:rPr>
          <w:rFonts w:hint="eastAsia" w:ascii="Times New Roman" w:hAnsi="Times New Roman" w:eastAsia="宋体" w:cs="Times New Roman"/>
          <w:szCs w:val="20"/>
        </w:rPr>
        <w:t>（8）</w:t>
      </w:r>
      <w:r>
        <w:rPr>
          <w:rFonts w:hint="eastAsia" w:ascii="宋体" w:hAnsi="宋体" w:eastAsia="宋体" w:cs="宋体"/>
          <w:szCs w:val="21"/>
        </w:rPr>
        <w:t>2024年度的财务报告情况（成立不满一年不需提供）；</w:t>
      </w:r>
    </w:p>
    <w:p>
      <w:pPr>
        <w:spacing w:after="120"/>
        <w:ind w:firstLine="420" w:firstLineChars="200"/>
        <w:rPr>
          <w:rFonts w:ascii="宋体" w:hAnsi="宋体" w:eastAsia="宋体" w:cs="宋体"/>
          <w:szCs w:val="21"/>
        </w:rPr>
      </w:pPr>
      <w:r>
        <w:rPr>
          <w:rFonts w:hint="eastAsia" w:ascii="宋体" w:hAnsi="宋体" w:eastAsia="宋体" w:cs="宋体"/>
          <w:szCs w:val="21"/>
        </w:rPr>
        <w:t>（9）工业产品生产许可证；</w:t>
      </w:r>
    </w:p>
    <w:p>
      <w:pPr>
        <w:spacing w:after="120"/>
        <w:ind w:firstLine="420" w:firstLineChars="200"/>
        <w:rPr>
          <w:rFonts w:ascii="宋体" w:hAnsi="宋体" w:eastAsia="宋体" w:cs="宋体"/>
          <w:szCs w:val="21"/>
        </w:rPr>
      </w:pPr>
      <w:r>
        <w:rPr>
          <w:rFonts w:hint="eastAsia" w:ascii="宋体" w:hAnsi="宋体" w:eastAsia="宋体" w:cs="宋体"/>
          <w:szCs w:val="21"/>
        </w:rPr>
        <w:t>（10）消防产品认证证书（范围防火门、窗）；</w:t>
      </w:r>
    </w:p>
    <w:p>
      <w:pPr>
        <w:spacing w:after="120"/>
        <w:ind w:firstLine="420" w:firstLineChars="200"/>
        <w:rPr>
          <w:rFonts w:ascii="宋体" w:hAnsi="宋体" w:eastAsia="宋体" w:cs="宋体"/>
          <w:szCs w:val="21"/>
        </w:rPr>
      </w:pPr>
      <w:r>
        <w:rPr>
          <w:rFonts w:hint="eastAsia" w:ascii="宋体" w:hAnsi="宋体" w:eastAsia="宋体" w:cs="宋体"/>
          <w:szCs w:val="21"/>
        </w:rPr>
        <w:t>（11）</w:t>
      </w:r>
      <w:r>
        <w:rPr>
          <w:rFonts w:ascii="宋体" w:hAnsi="宋体" w:eastAsia="宋体" w:cs="宋体"/>
          <w:szCs w:val="21"/>
        </w:rPr>
        <w:t>生产防火门、窗型式认可证书</w:t>
      </w:r>
      <w:r>
        <w:rPr>
          <w:rFonts w:hint="eastAsia" w:ascii="宋体" w:hAnsi="宋体" w:eastAsia="宋体" w:cs="宋体"/>
          <w:szCs w:val="21"/>
        </w:rPr>
        <w:t>；</w:t>
      </w:r>
    </w:p>
    <w:p>
      <w:pPr>
        <w:spacing w:after="120"/>
        <w:ind w:firstLine="420" w:firstLineChars="200"/>
        <w:rPr>
          <w:rFonts w:ascii="宋体" w:hAnsi="宋体" w:eastAsia="宋体" w:cs="宋体"/>
          <w:szCs w:val="21"/>
        </w:rPr>
      </w:pPr>
      <w:r>
        <w:rPr>
          <w:rFonts w:hint="eastAsia" w:ascii="宋体" w:hAnsi="宋体" w:eastAsia="宋体" w:cs="宋体"/>
          <w:szCs w:val="21"/>
        </w:rPr>
        <w:t>（12）经国家认可的第三方权威检测机构出具的所投防火门（甲级、乙级、丙级）和防火窗（乙级）有效期内的型式检验（检测）报告；</w:t>
      </w:r>
    </w:p>
    <w:p>
      <w:pPr>
        <w:spacing w:after="120"/>
        <w:ind w:firstLine="420" w:firstLineChars="200"/>
        <w:rPr>
          <w:rFonts w:ascii="宋体" w:hAnsi="宋体" w:eastAsia="宋体" w:cs="宋体"/>
          <w:szCs w:val="21"/>
        </w:rPr>
      </w:pPr>
      <w:r>
        <w:rPr>
          <w:rFonts w:ascii="宋体" w:hAnsi="宋体" w:eastAsia="宋体" w:cs="宋体"/>
          <w:szCs w:val="21"/>
        </w:rPr>
        <w:t>（</w:t>
      </w:r>
      <w:r>
        <w:rPr>
          <w:rFonts w:hint="eastAsia" w:ascii="宋体" w:hAnsi="宋体" w:eastAsia="宋体" w:cs="宋体"/>
          <w:szCs w:val="21"/>
        </w:rPr>
        <w:t>13</w:t>
      </w:r>
      <w:r>
        <w:rPr>
          <w:rFonts w:ascii="宋体" w:hAnsi="宋体" w:eastAsia="宋体" w:cs="宋体"/>
          <w:szCs w:val="21"/>
        </w:rPr>
        <w:t>）</w:t>
      </w:r>
      <w:r>
        <w:rPr>
          <w:rFonts w:hint="eastAsia" w:ascii="宋体" w:hAnsi="宋体" w:eastAsia="宋体" w:cs="宋体"/>
          <w:szCs w:val="21"/>
        </w:rPr>
        <w:t>消防设施工程专业承包资质证书；</w:t>
      </w:r>
    </w:p>
    <w:p>
      <w:pPr>
        <w:spacing w:after="120"/>
        <w:ind w:firstLine="420" w:firstLineChars="200"/>
        <w:rPr>
          <w:rFonts w:ascii="宋体" w:hAnsi="宋体" w:eastAsia="宋体" w:cs="宋体"/>
          <w:szCs w:val="21"/>
        </w:rPr>
      </w:pPr>
      <w:r>
        <w:rPr>
          <w:rFonts w:hint="eastAsia" w:ascii="宋体" w:hAnsi="宋体" w:eastAsia="宋体" w:cs="宋体"/>
          <w:szCs w:val="21"/>
        </w:rPr>
        <w:t>（14）</w:t>
      </w:r>
      <w:r>
        <w:rPr>
          <w:rFonts w:ascii="宋体" w:hAnsi="宋体" w:eastAsia="宋体" w:cs="宋体"/>
          <w:szCs w:val="21"/>
        </w:rPr>
        <w:t>企业安全生产许可证；</w:t>
      </w:r>
    </w:p>
    <w:p>
      <w:pPr>
        <w:spacing w:after="120"/>
        <w:ind w:firstLine="420" w:firstLineChars="200"/>
        <w:rPr>
          <w:rFonts w:ascii="宋体" w:hAnsi="宋体" w:eastAsia="宋体" w:cs="宋体"/>
          <w:szCs w:val="21"/>
        </w:rPr>
      </w:pPr>
      <w:r>
        <w:rPr>
          <w:rFonts w:hint="eastAsia" w:ascii="宋体" w:hAnsi="宋体" w:eastAsia="宋体" w:cs="宋体"/>
          <w:szCs w:val="21"/>
        </w:rPr>
        <w:t>（15）项目负责人建造师注册证书安全生产考核合格证书（B证）；</w:t>
      </w:r>
    </w:p>
    <w:p>
      <w:pPr>
        <w:spacing w:after="120"/>
        <w:ind w:firstLine="420" w:firstLineChars="200"/>
        <w:rPr>
          <w:rFonts w:ascii="宋体" w:hAnsi="宋体" w:eastAsia="宋体" w:cs="宋体"/>
          <w:szCs w:val="21"/>
        </w:rPr>
      </w:pPr>
      <w:r>
        <w:rPr>
          <w:rFonts w:hint="eastAsia" w:ascii="宋体" w:hAnsi="宋体" w:eastAsia="宋体" w:cs="宋体"/>
          <w:szCs w:val="21"/>
        </w:rPr>
        <w:t>（16）业绩</w:t>
      </w:r>
      <w:r>
        <w:rPr>
          <w:rFonts w:ascii="宋体" w:hAnsi="宋体" w:eastAsia="宋体" w:cs="宋体"/>
          <w:szCs w:val="21"/>
        </w:rPr>
        <w:t>证明材料（提供合同原件、发票原件、国家税务总局全国增值税发票查验平台查验截图）；</w:t>
      </w:r>
    </w:p>
    <w:p>
      <w:pPr>
        <w:spacing w:after="120"/>
        <w:ind w:firstLine="420" w:firstLineChars="200"/>
        <w:rPr>
          <w:rFonts w:ascii="宋体" w:hAnsi="宋体" w:eastAsia="宋体" w:cs="宋体"/>
          <w:szCs w:val="21"/>
        </w:rPr>
      </w:pPr>
      <w:r>
        <w:rPr>
          <w:rFonts w:hint="eastAsia" w:ascii="宋体" w:hAnsi="宋体" w:eastAsia="宋体" w:cs="宋体"/>
          <w:szCs w:val="21"/>
        </w:rPr>
        <w:t>（17）真实性承诺书；</w:t>
      </w:r>
    </w:p>
    <w:p>
      <w:pPr>
        <w:spacing w:line="360" w:lineRule="auto"/>
        <w:ind w:firstLine="420" w:firstLineChars="200"/>
        <w:rPr>
          <w:rFonts w:ascii="宋体" w:hAnsi="Times New Roman" w:eastAsia="宋体" w:cs="Times New Roman"/>
          <w:color w:val="000000"/>
          <w:szCs w:val="20"/>
        </w:rPr>
      </w:pPr>
      <w:r>
        <w:rPr>
          <w:rFonts w:hint="eastAsia" w:ascii="宋体" w:hAnsi="宋体" w:eastAsia="宋体" w:cs="宋体"/>
          <w:szCs w:val="21"/>
        </w:rPr>
        <w:t>（18）投标人认为其他需要提供的材料</w:t>
      </w:r>
    </w:p>
    <w:p>
      <w:pPr>
        <w:spacing w:line="360" w:lineRule="auto"/>
        <w:ind w:firstLine="420" w:firstLineChars="200"/>
        <w:rPr>
          <w:rFonts w:ascii="宋体" w:hAnsi="Times New Roman" w:eastAsia="宋体" w:cs="Times New Roman"/>
          <w:color w:val="000000"/>
          <w:szCs w:val="20"/>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autoSpaceDE w:val="0"/>
        <w:autoSpaceDN w:val="0"/>
        <w:adjustRightInd w:val="0"/>
        <w:spacing w:line="500" w:lineRule="exact"/>
        <w:ind w:firstLine="480"/>
        <w:jc w:val="center"/>
        <w:rPr>
          <w:rFonts w:ascii="Calibri" w:hAnsi="Calibri" w:eastAsia="宋体" w:cs="Times New Roman"/>
          <w:b/>
          <w:sz w:val="32"/>
          <w:szCs w:val="32"/>
        </w:rPr>
      </w:pPr>
      <w:r>
        <w:rPr>
          <w:rFonts w:hint="eastAsia" w:ascii="Calibri" w:hAnsi="Calibri" w:eastAsia="宋体" w:cs="Times New Roman"/>
          <w:b/>
          <w:sz w:val="32"/>
          <w:szCs w:val="32"/>
        </w:rPr>
        <w:t>1、</w:t>
      </w:r>
      <w:r>
        <w:rPr>
          <w:rFonts w:ascii="Calibri" w:hAnsi="Calibri" w:eastAsia="宋体" w:cs="Times New Roman"/>
          <w:b/>
          <w:sz w:val="32"/>
          <w:szCs w:val="32"/>
        </w:rPr>
        <w:t>法</w:t>
      </w:r>
      <w:r>
        <w:rPr>
          <w:rFonts w:hint="eastAsia" w:ascii="Calibri" w:hAnsi="Calibri" w:eastAsia="宋体" w:cs="Times New Roman"/>
          <w:b/>
          <w:sz w:val="32"/>
          <w:szCs w:val="32"/>
        </w:rPr>
        <w:t>定代表</w:t>
      </w:r>
      <w:r>
        <w:rPr>
          <w:rFonts w:ascii="Calibri" w:hAnsi="Calibri" w:eastAsia="宋体" w:cs="Times New Roman"/>
          <w:b/>
          <w:sz w:val="32"/>
          <w:szCs w:val="32"/>
        </w:rPr>
        <w:t>人授权委托书</w:t>
      </w:r>
    </w:p>
    <w:p>
      <w:pPr>
        <w:spacing w:line="360" w:lineRule="auto"/>
        <w:jc w:val="center"/>
        <w:rPr>
          <w:rFonts w:ascii="Calibri" w:hAnsi="Calibri" w:eastAsia="宋体" w:cs="Times New Roman"/>
          <w:b/>
          <w:sz w:val="36"/>
          <w:szCs w:val="20"/>
        </w:rPr>
      </w:pPr>
    </w:p>
    <w:p>
      <w:pPr>
        <w:autoSpaceDE w:val="0"/>
        <w:autoSpaceDN w:val="0"/>
        <w:adjustRightInd w:val="0"/>
        <w:spacing w:line="360" w:lineRule="auto"/>
        <w:ind w:firstLine="480" w:firstLineChars="200"/>
        <w:jc w:val="left"/>
        <w:rPr>
          <w:rFonts w:ascii="Calibri" w:hAnsi="Calibri" w:eastAsia="宋体" w:cs="Calibri"/>
          <w:kern w:val="0"/>
          <w:sz w:val="24"/>
          <w:szCs w:val="24"/>
        </w:rPr>
      </w:pPr>
      <w:r>
        <w:rPr>
          <w:rFonts w:hint="eastAsia" w:ascii="Calibri" w:hAnsi="Calibri" w:eastAsia="宋体" w:cs="Calibri"/>
          <w:kern w:val="0"/>
          <w:sz w:val="24"/>
          <w:szCs w:val="24"/>
        </w:rPr>
        <w:t>本人</w:t>
      </w:r>
      <w:r>
        <w:rPr>
          <w:rFonts w:hint="eastAsia" w:ascii="Calibri" w:hAnsi="Calibri" w:eastAsia="宋体" w:cs="Calibri"/>
          <w:kern w:val="0"/>
          <w:sz w:val="24"/>
          <w:szCs w:val="24"/>
          <w:u w:val="single"/>
        </w:rPr>
        <w:t xml:space="preserve">       </w:t>
      </w:r>
      <w:r>
        <w:rPr>
          <w:rFonts w:hint="eastAsia" w:ascii="Calibri" w:hAnsi="Calibri" w:eastAsia="宋体" w:cs="Calibri"/>
          <w:kern w:val="0"/>
          <w:sz w:val="24"/>
          <w:szCs w:val="24"/>
        </w:rPr>
        <w:t>（姓名）系</w:t>
      </w:r>
      <w:r>
        <w:rPr>
          <w:rFonts w:hint="eastAsia" w:ascii="Calibri" w:hAnsi="Calibri" w:eastAsia="宋体" w:cs="Calibri"/>
          <w:kern w:val="0"/>
          <w:sz w:val="24"/>
          <w:szCs w:val="24"/>
          <w:u w:val="single"/>
        </w:rPr>
        <w:t xml:space="preserve">          </w:t>
      </w:r>
      <w:r>
        <w:rPr>
          <w:rFonts w:hint="eastAsia" w:ascii="Calibri" w:hAnsi="Calibri" w:eastAsia="宋体" w:cs="Calibri"/>
          <w:kern w:val="0"/>
          <w:sz w:val="24"/>
          <w:szCs w:val="24"/>
        </w:rPr>
        <w:t>（投标人名称）的法定代表人，现委托</w:t>
      </w:r>
      <w:r>
        <w:rPr>
          <w:rFonts w:hint="eastAsia" w:ascii="Calibri" w:hAnsi="Calibri" w:eastAsia="宋体" w:cs="Calibri"/>
          <w:kern w:val="0"/>
          <w:sz w:val="24"/>
          <w:szCs w:val="24"/>
          <w:u w:val="single"/>
        </w:rPr>
        <w:t xml:space="preserve">        </w:t>
      </w:r>
      <w:r>
        <w:rPr>
          <w:rFonts w:hint="eastAsia" w:ascii="Calibri" w:hAnsi="Calibri" w:eastAsia="宋体" w:cs="Calibri"/>
          <w:kern w:val="0"/>
          <w:sz w:val="24"/>
          <w:szCs w:val="24"/>
        </w:rPr>
        <w:t>（姓名）为我方代理人。代理人根据授权，以我方名义签署、澄清、说明、补正、递交、撤回、修改</w:t>
      </w:r>
      <w:r>
        <w:rPr>
          <w:rFonts w:hint="eastAsia" w:ascii="Calibri" w:hAnsi="Calibri" w:eastAsia="宋体" w:cs="Calibri"/>
          <w:kern w:val="0"/>
          <w:sz w:val="24"/>
          <w:szCs w:val="24"/>
          <w:u w:val="single"/>
        </w:rPr>
        <w:t xml:space="preserve">             </w:t>
      </w:r>
      <w:r>
        <w:rPr>
          <w:rFonts w:hint="eastAsia" w:ascii="Calibri" w:hAnsi="Calibri" w:eastAsia="宋体" w:cs="Calibri"/>
          <w:kern w:val="0"/>
          <w:sz w:val="24"/>
          <w:szCs w:val="24"/>
        </w:rPr>
        <w:t>（项目名称及标段）</w:t>
      </w:r>
      <w:r>
        <w:rPr>
          <w:rFonts w:hint="eastAsia" w:ascii="Calibri" w:hAnsi="Calibri" w:eastAsia="宋体" w:cs="Calibri"/>
          <w:kern w:val="0"/>
          <w:sz w:val="24"/>
          <w:szCs w:val="24"/>
          <w:u w:val="single"/>
        </w:rPr>
        <w:t xml:space="preserve">         </w:t>
      </w:r>
      <w:r>
        <w:rPr>
          <w:rFonts w:hint="eastAsia" w:ascii="Calibri" w:hAnsi="Calibri" w:eastAsia="宋体" w:cs="Calibri"/>
          <w:kern w:val="0"/>
          <w:sz w:val="24"/>
          <w:szCs w:val="24"/>
        </w:rPr>
        <w:t>投标文件、签订合同和处理有关事宜，其法律后果由我方承担。</w:t>
      </w:r>
    </w:p>
    <w:p>
      <w:pPr>
        <w:autoSpaceDE w:val="0"/>
        <w:autoSpaceDN w:val="0"/>
        <w:adjustRightInd w:val="0"/>
        <w:spacing w:line="360" w:lineRule="auto"/>
        <w:ind w:firstLine="480" w:firstLineChars="200"/>
        <w:jc w:val="left"/>
        <w:rPr>
          <w:rFonts w:ascii="Calibri" w:hAnsi="Calibri" w:eastAsia="宋体" w:cs="Calibri"/>
          <w:kern w:val="0"/>
          <w:sz w:val="24"/>
          <w:szCs w:val="24"/>
        </w:rPr>
      </w:pPr>
      <w:r>
        <w:rPr>
          <w:rFonts w:hint="eastAsia" w:ascii="Calibri" w:hAnsi="Calibri" w:eastAsia="宋体" w:cs="Calibri"/>
          <w:kern w:val="0"/>
          <w:sz w:val="24"/>
          <w:szCs w:val="24"/>
        </w:rPr>
        <w:t>委托期限：</w:t>
      </w:r>
      <w:r>
        <w:rPr>
          <w:rFonts w:hint="eastAsia" w:ascii="Calibri" w:hAnsi="Calibri" w:eastAsia="宋体" w:cs="Calibri"/>
          <w:kern w:val="0"/>
          <w:sz w:val="24"/>
          <w:szCs w:val="24"/>
          <w:u w:val="single"/>
        </w:rPr>
        <w:t xml:space="preserve">                                                   </w:t>
      </w:r>
      <w:r>
        <w:rPr>
          <w:rFonts w:hint="eastAsia" w:ascii="Calibri" w:hAnsi="Calibri" w:eastAsia="宋体" w:cs="Calibri"/>
          <w:kern w:val="0"/>
          <w:sz w:val="24"/>
          <w:szCs w:val="24"/>
        </w:rPr>
        <w:t xml:space="preserve"> 。</w:t>
      </w:r>
    </w:p>
    <w:p>
      <w:pPr>
        <w:autoSpaceDE w:val="0"/>
        <w:autoSpaceDN w:val="0"/>
        <w:adjustRightInd w:val="0"/>
        <w:spacing w:line="360" w:lineRule="auto"/>
        <w:ind w:firstLine="480" w:firstLineChars="200"/>
        <w:jc w:val="left"/>
        <w:rPr>
          <w:rFonts w:ascii="Calibri" w:hAnsi="Calibri" w:eastAsia="宋体" w:cs="Calibri"/>
          <w:kern w:val="0"/>
          <w:sz w:val="24"/>
          <w:szCs w:val="24"/>
        </w:rPr>
      </w:pPr>
      <w:r>
        <w:rPr>
          <w:rFonts w:hint="eastAsia" w:ascii="Calibri" w:hAnsi="Calibri" w:eastAsia="宋体" w:cs="Calibri"/>
          <w:kern w:val="0"/>
          <w:sz w:val="24"/>
          <w:szCs w:val="24"/>
        </w:rPr>
        <w:t>代理人无转委托权。</w:t>
      </w:r>
    </w:p>
    <w:p>
      <w:pPr>
        <w:autoSpaceDE w:val="0"/>
        <w:autoSpaceDN w:val="0"/>
        <w:adjustRightInd w:val="0"/>
        <w:spacing w:line="360" w:lineRule="auto"/>
        <w:ind w:firstLine="480" w:firstLineChars="200"/>
        <w:jc w:val="left"/>
        <w:rPr>
          <w:rFonts w:ascii="Calibri" w:hAnsi="Calibri" w:eastAsia="宋体" w:cs="Calibri"/>
          <w:kern w:val="0"/>
          <w:sz w:val="24"/>
          <w:szCs w:val="24"/>
        </w:rPr>
      </w:pPr>
    </w:p>
    <w:p>
      <w:pPr>
        <w:autoSpaceDE w:val="0"/>
        <w:autoSpaceDN w:val="0"/>
        <w:adjustRightInd w:val="0"/>
        <w:spacing w:line="360" w:lineRule="auto"/>
        <w:ind w:firstLine="480" w:firstLineChars="200"/>
        <w:jc w:val="left"/>
        <w:rPr>
          <w:rFonts w:ascii="Calibri" w:hAnsi="Calibri" w:eastAsia="宋体" w:cs="Calibri"/>
          <w:kern w:val="0"/>
          <w:sz w:val="24"/>
          <w:szCs w:val="24"/>
        </w:rPr>
      </w:pPr>
      <w:r>
        <w:rPr>
          <w:rFonts w:hint="eastAsia" w:ascii="Calibri" w:hAnsi="Calibri" w:eastAsia="宋体" w:cs="Calibri"/>
          <w:kern w:val="0"/>
          <w:sz w:val="24"/>
          <w:szCs w:val="24"/>
        </w:rPr>
        <w:t>附：委托代理人身份证原件扫描件</w:t>
      </w:r>
    </w:p>
    <w:p>
      <w:pPr>
        <w:autoSpaceDE w:val="0"/>
        <w:autoSpaceDN w:val="0"/>
        <w:adjustRightInd w:val="0"/>
        <w:spacing w:line="360" w:lineRule="auto"/>
        <w:ind w:firstLine="480" w:firstLineChars="200"/>
        <w:jc w:val="left"/>
        <w:rPr>
          <w:rFonts w:ascii="Calibri" w:hAnsi="Calibri" w:eastAsia="宋体" w:cs="Calibri"/>
          <w:kern w:val="0"/>
          <w:sz w:val="24"/>
          <w:szCs w:val="24"/>
        </w:rPr>
      </w:pPr>
    </w:p>
    <w:p>
      <w:pPr>
        <w:autoSpaceDE w:val="0"/>
        <w:autoSpaceDN w:val="0"/>
        <w:adjustRightInd w:val="0"/>
        <w:spacing w:line="360" w:lineRule="auto"/>
        <w:ind w:firstLine="480" w:firstLineChars="200"/>
        <w:jc w:val="left"/>
        <w:rPr>
          <w:rFonts w:ascii="Calibri" w:hAnsi="Calibri" w:eastAsia="宋体" w:cs="Calibri"/>
          <w:kern w:val="0"/>
          <w:sz w:val="24"/>
          <w:szCs w:val="24"/>
        </w:rPr>
      </w:pPr>
      <w:r>
        <w:rPr>
          <w:rFonts w:hint="eastAsia" w:ascii="Calibri" w:hAnsi="Calibri" w:eastAsia="宋体" w:cs="Calibri"/>
          <w:kern w:val="0"/>
          <w:sz w:val="24"/>
          <w:szCs w:val="24"/>
        </w:rPr>
        <w:t>投  标  人：</w:t>
      </w:r>
      <w:r>
        <w:rPr>
          <w:rFonts w:hint="eastAsia" w:ascii="Calibri" w:hAnsi="Calibri" w:eastAsia="宋体" w:cs="Calibri"/>
          <w:kern w:val="0"/>
          <w:sz w:val="24"/>
          <w:szCs w:val="24"/>
          <w:u w:val="single"/>
        </w:rPr>
        <w:t xml:space="preserve">                        </w:t>
      </w:r>
      <w:r>
        <w:rPr>
          <w:rFonts w:hint="eastAsia" w:ascii="Calibri" w:hAnsi="Calibri" w:eastAsia="宋体" w:cs="Calibri"/>
          <w:kern w:val="0"/>
          <w:sz w:val="24"/>
          <w:szCs w:val="24"/>
        </w:rPr>
        <w:t>（盖单位章）</w:t>
      </w:r>
    </w:p>
    <w:p>
      <w:pPr>
        <w:autoSpaceDE w:val="0"/>
        <w:autoSpaceDN w:val="0"/>
        <w:adjustRightInd w:val="0"/>
        <w:spacing w:line="360" w:lineRule="auto"/>
        <w:ind w:firstLine="480" w:firstLineChars="200"/>
        <w:jc w:val="left"/>
        <w:rPr>
          <w:rFonts w:ascii="Calibri" w:hAnsi="Calibri" w:eastAsia="宋体" w:cs="Calibri"/>
          <w:kern w:val="0"/>
          <w:sz w:val="24"/>
          <w:szCs w:val="24"/>
        </w:rPr>
      </w:pPr>
    </w:p>
    <w:p>
      <w:pPr>
        <w:autoSpaceDE w:val="0"/>
        <w:autoSpaceDN w:val="0"/>
        <w:adjustRightInd w:val="0"/>
        <w:spacing w:line="360" w:lineRule="auto"/>
        <w:ind w:firstLine="480" w:firstLineChars="200"/>
        <w:jc w:val="left"/>
        <w:rPr>
          <w:rFonts w:ascii="Calibri" w:hAnsi="Calibri" w:eastAsia="宋体" w:cs="Calibri"/>
          <w:kern w:val="0"/>
          <w:sz w:val="24"/>
          <w:szCs w:val="24"/>
        </w:rPr>
      </w:pPr>
      <w:r>
        <w:rPr>
          <w:rFonts w:hint="eastAsia" w:ascii="Calibri" w:hAnsi="Calibri" w:eastAsia="宋体" w:cs="Calibri"/>
          <w:kern w:val="0"/>
          <w:sz w:val="24"/>
          <w:szCs w:val="24"/>
        </w:rPr>
        <w:t>法定代表人：</w:t>
      </w:r>
      <w:r>
        <w:rPr>
          <w:rFonts w:hint="eastAsia" w:ascii="Calibri" w:hAnsi="Calibri" w:eastAsia="宋体" w:cs="Calibri"/>
          <w:kern w:val="0"/>
          <w:sz w:val="24"/>
          <w:szCs w:val="24"/>
          <w:u w:val="single"/>
        </w:rPr>
        <w:t xml:space="preserve">                            </w:t>
      </w:r>
      <w:r>
        <w:rPr>
          <w:rFonts w:hint="eastAsia" w:ascii="Calibri" w:hAnsi="Calibri" w:eastAsia="宋体" w:cs="Calibri"/>
          <w:kern w:val="0"/>
          <w:sz w:val="24"/>
          <w:szCs w:val="24"/>
        </w:rPr>
        <w:t>（签字）</w:t>
      </w:r>
    </w:p>
    <w:p>
      <w:pPr>
        <w:autoSpaceDE w:val="0"/>
        <w:autoSpaceDN w:val="0"/>
        <w:adjustRightInd w:val="0"/>
        <w:spacing w:line="360" w:lineRule="auto"/>
        <w:ind w:firstLine="480" w:firstLineChars="200"/>
        <w:jc w:val="left"/>
        <w:rPr>
          <w:rFonts w:ascii="Calibri" w:hAnsi="Calibri" w:eastAsia="宋体" w:cs="Calibri"/>
          <w:kern w:val="0"/>
          <w:sz w:val="24"/>
          <w:szCs w:val="24"/>
        </w:rPr>
      </w:pPr>
    </w:p>
    <w:p>
      <w:pPr>
        <w:autoSpaceDE w:val="0"/>
        <w:autoSpaceDN w:val="0"/>
        <w:adjustRightInd w:val="0"/>
        <w:spacing w:line="360" w:lineRule="auto"/>
        <w:ind w:firstLine="480" w:firstLineChars="200"/>
        <w:jc w:val="left"/>
        <w:rPr>
          <w:rFonts w:ascii="Calibri" w:hAnsi="Calibri" w:eastAsia="宋体" w:cs="Calibri"/>
          <w:kern w:val="0"/>
          <w:sz w:val="24"/>
          <w:szCs w:val="24"/>
          <w:u w:val="single"/>
        </w:rPr>
      </w:pPr>
      <w:r>
        <w:rPr>
          <w:rFonts w:hint="eastAsia" w:ascii="Calibri" w:hAnsi="Calibri" w:eastAsia="宋体" w:cs="Calibri"/>
          <w:kern w:val="0"/>
          <w:sz w:val="24"/>
          <w:szCs w:val="24"/>
        </w:rPr>
        <w:t>身份证号码：</w:t>
      </w:r>
      <w:r>
        <w:rPr>
          <w:rFonts w:hint="eastAsia" w:ascii="Calibri" w:hAnsi="Calibri" w:eastAsia="宋体" w:cs="Calibri"/>
          <w:kern w:val="0"/>
          <w:sz w:val="24"/>
          <w:szCs w:val="24"/>
          <w:u w:val="single"/>
        </w:rPr>
        <w:t xml:space="preserve">                                   </w:t>
      </w:r>
    </w:p>
    <w:p>
      <w:pPr>
        <w:autoSpaceDE w:val="0"/>
        <w:autoSpaceDN w:val="0"/>
        <w:adjustRightInd w:val="0"/>
        <w:spacing w:line="360" w:lineRule="auto"/>
        <w:ind w:firstLine="480" w:firstLineChars="200"/>
        <w:jc w:val="left"/>
        <w:rPr>
          <w:rFonts w:ascii="Calibri" w:hAnsi="Calibri" w:eastAsia="宋体" w:cs="Calibri"/>
          <w:kern w:val="0"/>
          <w:sz w:val="24"/>
          <w:szCs w:val="24"/>
        </w:rPr>
      </w:pPr>
    </w:p>
    <w:p>
      <w:pPr>
        <w:autoSpaceDE w:val="0"/>
        <w:autoSpaceDN w:val="0"/>
        <w:adjustRightInd w:val="0"/>
        <w:spacing w:line="360" w:lineRule="auto"/>
        <w:ind w:firstLine="480" w:firstLineChars="200"/>
        <w:jc w:val="left"/>
        <w:rPr>
          <w:rFonts w:ascii="Calibri" w:hAnsi="Calibri" w:eastAsia="宋体" w:cs="Calibri"/>
          <w:kern w:val="0"/>
          <w:sz w:val="24"/>
          <w:szCs w:val="24"/>
        </w:rPr>
      </w:pPr>
      <w:r>
        <w:rPr>
          <w:rFonts w:hint="eastAsia" w:ascii="Calibri" w:hAnsi="Calibri" w:eastAsia="宋体" w:cs="Calibri"/>
          <w:kern w:val="0"/>
          <w:sz w:val="24"/>
          <w:szCs w:val="24"/>
        </w:rPr>
        <w:t>委托代理人：</w:t>
      </w:r>
      <w:r>
        <w:rPr>
          <w:rFonts w:hint="eastAsia" w:ascii="Calibri" w:hAnsi="Calibri" w:eastAsia="宋体" w:cs="Calibri"/>
          <w:kern w:val="0"/>
          <w:sz w:val="24"/>
          <w:szCs w:val="24"/>
          <w:u w:val="single"/>
        </w:rPr>
        <w:t xml:space="preserve">                             </w:t>
      </w:r>
      <w:r>
        <w:rPr>
          <w:rFonts w:hint="eastAsia" w:ascii="Calibri" w:hAnsi="Calibri" w:eastAsia="宋体" w:cs="Calibri"/>
          <w:kern w:val="0"/>
          <w:sz w:val="24"/>
          <w:szCs w:val="24"/>
        </w:rPr>
        <w:t>（签字）</w:t>
      </w:r>
    </w:p>
    <w:p>
      <w:pPr>
        <w:autoSpaceDE w:val="0"/>
        <w:autoSpaceDN w:val="0"/>
        <w:adjustRightInd w:val="0"/>
        <w:spacing w:line="360" w:lineRule="auto"/>
        <w:ind w:firstLine="480" w:firstLineChars="200"/>
        <w:jc w:val="left"/>
        <w:rPr>
          <w:rFonts w:ascii="Calibri" w:hAnsi="Calibri" w:eastAsia="宋体" w:cs="Calibri"/>
          <w:kern w:val="0"/>
          <w:sz w:val="24"/>
          <w:szCs w:val="24"/>
        </w:rPr>
      </w:pPr>
    </w:p>
    <w:p>
      <w:pPr>
        <w:autoSpaceDE w:val="0"/>
        <w:autoSpaceDN w:val="0"/>
        <w:adjustRightInd w:val="0"/>
        <w:spacing w:line="360" w:lineRule="auto"/>
        <w:ind w:firstLine="480" w:firstLineChars="200"/>
        <w:jc w:val="left"/>
        <w:rPr>
          <w:rFonts w:ascii="Calibri" w:hAnsi="Calibri" w:eastAsia="宋体" w:cs="Calibri"/>
          <w:kern w:val="0"/>
          <w:sz w:val="24"/>
          <w:szCs w:val="24"/>
          <w:u w:val="single"/>
        </w:rPr>
      </w:pPr>
      <w:r>
        <w:rPr>
          <w:rFonts w:hint="eastAsia" w:ascii="Calibri" w:hAnsi="Calibri" w:eastAsia="宋体" w:cs="Calibri"/>
          <w:kern w:val="0"/>
          <w:sz w:val="24"/>
          <w:szCs w:val="24"/>
        </w:rPr>
        <w:t>身份证号码：</w:t>
      </w:r>
      <w:r>
        <w:rPr>
          <w:rFonts w:hint="eastAsia" w:ascii="Calibri" w:hAnsi="Calibri" w:eastAsia="宋体" w:cs="Calibri"/>
          <w:kern w:val="0"/>
          <w:sz w:val="24"/>
          <w:szCs w:val="24"/>
          <w:u w:val="single"/>
        </w:rPr>
        <w:t xml:space="preserve">                                   </w:t>
      </w:r>
    </w:p>
    <w:p>
      <w:pPr>
        <w:autoSpaceDE w:val="0"/>
        <w:autoSpaceDN w:val="0"/>
        <w:adjustRightInd w:val="0"/>
        <w:spacing w:line="360" w:lineRule="auto"/>
        <w:ind w:firstLine="480" w:firstLineChars="200"/>
        <w:jc w:val="left"/>
        <w:rPr>
          <w:rFonts w:ascii="Calibri" w:hAnsi="Calibri" w:eastAsia="宋体" w:cs="Calibri"/>
          <w:kern w:val="0"/>
          <w:sz w:val="24"/>
          <w:szCs w:val="24"/>
        </w:rPr>
      </w:pPr>
    </w:p>
    <w:p>
      <w:pPr>
        <w:autoSpaceDE w:val="0"/>
        <w:autoSpaceDN w:val="0"/>
        <w:adjustRightInd w:val="0"/>
        <w:spacing w:line="360" w:lineRule="auto"/>
        <w:ind w:firstLine="3720" w:firstLineChars="1550"/>
        <w:jc w:val="left"/>
        <w:rPr>
          <w:rFonts w:ascii="Calibri" w:hAnsi="Calibri" w:eastAsia="宋体" w:cs="Calibri"/>
          <w:kern w:val="0"/>
          <w:sz w:val="24"/>
          <w:szCs w:val="24"/>
          <w:u w:val="single"/>
        </w:rPr>
      </w:pPr>
    </w:p>
    <w:p>
      <w:pPr>
        <w:autoSpaceDE w:val="0"/>
        <w:autoSpaceDN w:val="0"/>
        <w:adjustRightInd w:val="0"/>
        <w:spacing w:line="360" w:lineRule="auto"/>
        <w:ind w:firstLine="3720" w:firstLineChars="1550"/>
        <w:jc w:val="left"/>
        <w:rPr>
          <w:rFonts w:ascii="Calibri" w:hAnsi="Calibri" w:eastAsia="宋体" w:cs="Calibri"/>
          <w:kern w:val="0"/>
          <w:sz w:val="24"/>
          <w:szCs w:val="24"/>
        </w:rPr>
      </w:pPr>
      <w:r>
        <w:rPr>
          <w:rFonts w:hint="eastAsia" w:ascii="Calibri" w:hAnsi="Calibri" w:eastAsia="宋体" w:cs="Calibri"/>
          <w:kern w:val="0"/>
          <w:sz w:val="24"/>
          <w:szCs w:val="24"/>
          <w:u w:val="single"/>
        </w:rPr>
        <w:t xml:space="preserve">        </w:t>
      </w:r>
      <w:r>
        <w:rPr>
          <w:rFonts w:hint="eastAsia" w:ascii="Calibri" w:hAnsi="Calibri" w:eastAsia="宋体" w:cs="Calibri"/>
          <w:kern w:val="0"/>
          <w:sz w:val="24"/>
          <w:szCs w:val="24"/>
        </w:rPr>
        <w:t>年</w:t>
      </w:r>
      <w:r>
        <w:rPr>
          <w:rFonts w:hint="eastAsia" w:ascii="Calibri" w:hAnsi="Calibri" w:eastAsia="宋体" w:cs="Calibri"/>
          <w:kern w:val="0"/>
          <w:sz w:val="24"/>
          <w:szCs w:val="24"/>
          <w:u w:val="single"/>
        </w:rPr>
        <w:t xml:space="preserve">        </w:t>
      </w:r>
      <w:r>
        <w:rPr>
          <w:rFonts w:hint="eastAsia" w:ascii="Calibri" w:hAnsi="Calibri" w:eastAsia="宋体" w:cs="Calibri"/>
          <w:kern w:val="0"/>
          <w:sz w:val="24"/>
          <w:szCs w:val="24"/>
        </w:rPr>
        <w:t>月</w:t>
      </w:r>
      <w:r>
        <w:rPr>
          <w:rFonts w:hint="eastAsia" w:ascii="Calibri" w:hAnsi="Calibri" w:eastAsia="宋体" w:cs="Calibri"/>
          <w:kern w:val="0"/>
          <w:sz w:val="24"/>
          <w:szCs w:val="24"/>
          <w:u w:val="single"/>
        </w:rPr>
        <w:t xml:space="preserve">        </w:t>
      </w:r>
      <w:r>
        <w:rPr>
          <w:rFonts w:hint="eastAsia" w:ascii="Calibri" w:hAnsi="Calibri" w:eastAsia="宋体" w:cs="Calibri"/>
          <w:kern w:val="0"/>
          <w:sz w:val="24"/>
          <w:szCs w:val="24"/>
        </w:rPr>
        <w:t>日</w:t>
      </w:r>
    </w:p>
    <w:p>
      <w:pPr>
        <w:autoSpaceDE w:val="0"/>
        <w:autoSpaceDN w:val="0"/>
        <w:adjustRightInd w:val="0"/>
        <w:spacing w:line="500" w:lineRule="exact"/>
        <w:ind w:firstLine="480"/>
        <w:jc w:val="center"/>
        <w:rPr>
          <w:rFonts w:ascii="Calibri" w:hAnsi="Calibri" w:eastAsia="宋体" w:cs="Times New Roman"/>
          <w:b/>
          <w:bCs/>
          <w:sz w:val="36"/>
          <w:szCs w:val="20"/>
        </w:rPr>
      </w:pPr>
    </w:p>
    <w:p>
      <w:pPr>
        <w:autoSpaceDE w:val="0"/>
        <w:autoSpaceDN w:val="0"/>
        <w:adjustRightInd w:val="0"/>
        <w:spacing w:line="500" w:lineRule="exact"/>
        <w:ind w:firstLine="480"/>
        <w:jc w:val="center"/>
        <w:rPr>
          <w:rFonts w:ascii="Calibri" w:hAnsi="Calibri" w:eastAsia="宋体" w:cs="Times New Roman"/>
          <w:b/>
          <w:bCs/>
          <w:sz w:val="36"/>
          <w:szCs w:val="20"/>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autoSpaceDE w:val="0"/>
        <w:autoSpaceDN w:val="0"/>
        <w:adjustRightInd w:val="0"/>
        <w:spacing w:line="500" w:lineRule="exact"/>
        <w:ind w:firstLine="480"/>
        <w:jc w:val="center"/>
        <w:rPr>
          <w:rFonts w:ascii="Calibri" w:hAnsi="Calibri" w:eastAsia="宋体" w:cs="Times New Roman"/>
          <w:b/>
          <w:sz w:val="32"/>
          <w:szCs w:val="32"/>
        </w:rPr>
      </w:pPr>
      <w:r>
        <w:rPr>
          <w:rFonts w:hint="eastAsia" w:ascii="Calibri" w:hAnsi="Calibri" w:eastAsia="宋体" w:cs="Times New Roman"/>
          <w:b/>
          <w:sz w:val="32"/>
          <w:szCs w:val="32"/>
        </w:rPr>
        <w:t>法定代表人身份证明</w:t>
      </w:r>
    </w:p>
    <w:p>
      <w:pPr>
        <w:autoSpaceDE w:val="0"/>
        <w:autoSpaceDN w:val="0"/>
        <w:adjustRightInd w:val="0"/>
        <w:spacing w:line="360" w:lineRule="auto"/>
        <w:ind w:firstLine="420" w:firstLineChars="200"/>
        <w:jc w:val="left"/>
        <w:rPr>
          <w:rFonts w:ascii="Calibri" w:hAnsi="Calibri" w:eastAsia="宋体" w:cs="Calibri"/>
          <w:kern w:val="0"/>
          <w:szCs w:val="21"/>
        </w:rPr>
      </w:pPr>
    </w:p>
    <w:p>
      <w:pPr>
        <w:autoSpaceDE w:val="0"/>
        <w:autoSpaceDN w:val="0"/>
        <w:adjustRightInd w:val="0"/>
        <w:spacing w:line="360" w:lineRule="auto"/>
        <w:ind w:firstLine="480" w:firstLineChars="200"/>
        <w:jc w:val="left"/>
        <w:rPr>
          <w:rFonts w:ascii="Calibri" w:hAnsi="Calibri" w:eastAsia="宋体" w:cs="Calibri"/>
          <w:kern w:val="0"/>
          <w:sz w:val="24"/>
          <w:szCs w:val="24"/>
        </w:rPr>
      </w:pPr>
      <w:r>
        <w:rPr>
          <w:rFonts w:hint="eastAsia" w:ascii="Calibri" w:hAnsi="Calibri" w:eastAsia="宋体" w:cs="Calibri"/>
          <w:kern w:val="0"/>
          <w:sz w:val="24"/>
          <w:szCs w:val="24"/>
        </w:rPr>
        <w:t>投 标 人：</w:t>
      </w:r>
      <w:r>
        <w:rPr>
          <w:rFonts w:hint="eastAsia" w:ascii="Calibri" w:hAnsi="Calibri" w:eastAsia="宋体" w:cs="Calibri"/>
          <w:kern w:val="0"/>
          <w:sz w:val="24"/>
          <w:szCs w:val="24"/>
          <w:u w:val="single"/>
        </w:rPr>
        <w:t xml:space="preserve">                                                       </w:t>
      </w:r>
      <w:r>
        <w:rPr>
          <w:rFonts w:hint="eastAsia" w:ascii="Calibri" w:hAnsi="Calibri" w:eastAsia="宋体" w:cs="Calibri"/>
          <w:kern w:val="0"/>
          <w:sz w:val="24"/>
          <w:szCs w:val="24"/>
        </w:rPr>
        <w:t xml:space="preserve"> </w:t>
      </w:r>
    </w:p>
    <w:p>
      <w:pPr>
        <w:autoSpaceDE w:val="0"/>
        <w:autoSpaceDN w:val="0"/>
        <w:adjustRightInd w:val="0"/>
        <w:spacing w:line="360" w:lineRule="auto"/>
        <w:ind w:firstLine="480" w:firstLineChars="200"/>
        <w:jc w:val="left"/>
        <w:rPr>
          <w:rFonts w:ascii="Calibri" w:hAnsi="Calibri" w:eastAsia="宋体" w:cs="Calibri"/>
          <w:kern w:val="0"/>
          <w:sz w:val="24"/>
          <w:szCs w:val="24"/>
        </w:rPr>
      </w:pPr>
      <w:r>
        <w:rPr>
          <w:rFonts w:hint="eastAsia" w:ascii="Calibri" w:hAnsi="Calibri" w:eastAsia="宋体" w:cs="Calibri"/>
          <w:kern w:val="0"/>
          <w:sz w:val="24"/>
          <w:szCs w:val="24"/>
        </w:rPr>
        <w:t>单位性质：</w:t>
      </w:r>
      <w:r>
        <w:rPr>
          <w:rFonts w:hint="eastAsia" w:ascii="Calibri" w:hAnsi="Calibri" w:eastAsia="宋体" w:cs="Calibri"/>
          <w:kern w:val="0"/>
          <w:sz w:val="24"/>
          <w:szCs w:val="24"/>
          <w:u w:val="single"/>
        </w:rPr>
        <w:t xml:space="preserve">                                                       </w:t>
      </w:r>
      <w:r>
        <w:rPr>
          <w:rFonts w:hint="eastAsia" w:ascii="Calibri" w:hAnsi="Calibri" w:eastAsia="宋体" w:cs="Calibri"/>
          <w:kern w:val="0"/>
          <w:sz w:val="24"/>
          <w:szCs w:val="24"/>
        </w:rPr>
        <w:t xml:space="preserve"> </w:t>
      </w:r>
    </w:p>
    <w:p>
      <w:pPr>
        <w:autoSpaceDE w:val="0"/>
        <w:autoSpaceDN w:val="0"/>
        <w:adjustRightInd w:val="0"/>
        <w:spacing w:line="360" w:lineRule="auto"/>
        <w:ind w:firstLine="480" w:firstLineChars="200"/>
        <w:jc w:val="left"/>
        <w:rPr>
          <w:rFonts w:ascii="Calibri" w:hAnsi="Calibri" w:eastAsia="宋体" w:cs="Calibri"/>
          <w:kern w:val="0"/>
          <w:sz w:val="24"/>
          <w:szCs w:val="24"/>
        </w:rPr>
      </w:pPr>
      <w:r>
        <w:rPr>
          <w:rFonts w:hint="eastAsia" w:ascii="Calibri" w:hAnsi="Calibri" w:eastAsia="宋体" w:cs="Calibri"/>
          <w:kern w:val="0"/>
          <w:sz w:val="24"/>
          <w:szCs w:val="24"/>
        </w:rPr>
        <w:t>地    址：</w:t>
      </w:r>
      <w:r>
        <w:rPr>
          <w:rFonts w:hint="eastAsia" w:ascii="Calibri" w:hAnsi="Calibri" w:eastAsia="宋体" w:cs="Calibri"/>
          <w:kern w:val="0"/>
          <w:sz w:val="24"/>
          <w:szCs w:val="24"/>
          <w:u w:val="single"/>
        </w:rPr>
        <w:t xml:space="preserve">                                                       </w:t>
      </w:r>
      <w:r>
        <w:rPr>
          <w:rFonts w:hint="eastAsia" w:ascii="Calibri" w:hAnsi="Calibri" w:eastAsia="宋体" w:cs="Calibri"/>
          <w:kern w:val="0"/>
          <w:sz w:val="24"/>
          <w:szCs w:val="24"/>
        </w:rPr>
        <w:t xml:space="preserve"> </w:t>
      </w:r>
    </w:p>
    <w:p>
      <w:pPr>
        <w:autoSpaceDE w:val="0"/>
        <w:autoSpaceDN w:val="0"/>
        <w:adjustRightInd w:val="0"/>
        <w:spacing w:line="360" w:lineRule="auto"/>
        <w:ind w:firstLine="480" w:firstLineChars="200"/>
        <w:jc w:val="left"/>
        <w:rPr>
          <w:rFonts w:ascii="Calibri" w:hAnsi="Calibri" w:eastAsia="宋体" w:cs="Calibri"/>
          <w:kern w:val="0"/>
          <w:sz w:val="24"/>
          <w:szCs w:val="24"/>
        </w:rPr>
      </w:pPr>
      <w:r>
        <w:rPr>
          <w:rFonts w:hint="eastAsia" w:ascii="Calibri" w:hAnsi="Calibri" w:eastAsia="宋体" w:cs="Calibri"/>
          <w:kern w:val="0"/>
          <w:sz w:val="24"/>
          <w:szCs w:val="24"/>
        </w:rPr>
        <w:t>成立时间：</w:t>
      </w:r>
      <w:r>
        <w:rPr>
          <w:rFonts w:hint="eastAsia" w:ascii="Calibri" w:hAnsi="Calibri" w:eastAsia="宋体" w:cs="Calibri"/>
          <w:kern w:val="0"/>
          <w:sz w:val="24"/>
          <w:szCs w:val="24"/>
          <w:u w:val="single"/>
        </w:rPr>
        <w:t xml:space="preserve">                 </w:t>
      </w:r>
      <w:r>
        <w:rPr>
          <w:rFonts w:hint="eastAsia" w:ascii="Calibri" w:hAnsi="Calibri" w:eastAsia="宋体" w:cs="Calibri"/>
          <w:kern w:val="0"/>
          <w:sz w:val="24"/>
          <w:szCs w:val="24"/>
        </w:rPr>
        <w:t>年</w:t>
      </w:r>
      <w:r>
        <w:rPr>
          <w:rFonts w:hint="eastAsia" w:ascii="Calibri" w:hAnsi="Calibri" w:eastAsia="宋体" w:cs="Calibri"/>
          <w:kern w:val="0"/>
          <w:sz w:val="24"/>
          <w:szCs w:val="24"/>
          <w:u w:val="single"/>
        </w:rPr>
        <w:t xml:space="preserve">              </w:t>
      </w:r>
      <w:r>
        <w:rPr>
          <w:rFonts w:hint="eastAsia" w:ascii="Calibri" w:hAnsi="Calibri" w:eastAsia="宋体" w:cs="Calibri"/>
          <w:kern w:val="0"/>
          <w:sz w:val="24"/>
          <w:szCs w:val="24"/>
        </w:rPr>
        <w:t>月</w:t>
      </w:r>
      <w:r>
        <w:rPr>
          <w:rFonts w:hint="eastAsia" w:ascii="Calibri" w:hAnsi="Calibri" w:eastAsia="宋体" w:cs="Calibri"/>
          <w:kern w:val="0"/>
          <w:sz w:val="24"/>
          <w:szCs w:val="24"/>
          <w:u w:val="single"/>
        </w:rPr>
        <w:t xml:space="preserve">              </w:t>
      </w:r>
      <w:r>
        <w:rPr>
          <w:rFonts w:hint="eastAsia" w:ascii="Calibri" w:hAnsi="Calibri" w:eastAsia="宋体" w:cs="Calibri"/>
          <w:kern w:val="0"/>
          <w:sz w:val="24"/>
          <w:szCs w:val="24"/>
        </w:rPr>
        <w:t>日</w:t>
      </w:r>
    </w:p>
    <w:p>
      <w:pPr>
        <w:autoSpaceDE w:val="0"/>
        <w:autoSpaceDN w:val="0"/>
        <w:adjustRightInd w:val="0"/>
        <w:spacing w:line="360" w:lineRule="auto"/>
        <w:ind w:firstLine="480" w:firstLineChars="200"/>
        <w:jc w:val="left"/>
        <w:rPr>
          <w:rFonts w:ascii="Calibri" w:hAnsi="Calibri" w:eastAsia="宋体" w:cs="Calibri"/>
          <w:kern w:val="0"/>
          <w:sz w:val="24"/>
          <w:szCs w:val="24"/>
        </w:rPr>
      </w:pPr>
      <w:r>
        <w:rPr>
          <w:rFonts w:hint="eastAsia" w:ascii="Calibri" w:hAnsi="Calibri" w:eastAsia="宋体" w:cs="Calibri"/>
          <w:kern w:val="0"/>
          <w:sz w:val="24"/>
          <w:szCs w:val="24"/>
        </w:rPr>
        <w:t>经营期限：</w:t>
      </w:r>
      <w:r>
        <w:rPr>
          <w:rFonts w:hint="eastAsia" w:ascii="Calibri" w:hAnsi="Calibri" w:eastAsia="宋体" w:cs="Calibri"/>
          <w:kern w:val="0"/>
          <w:sz w:val="24"/>
          <w:szCs w:val="24"/>
          <w:u w:val="single"/>
        </w:rPr>
        <w:t xml:space="preserve">                                                        </w:t>
      </w:r>
    </w:p>
    <w:p>
      <w:pPr>
        <w:autoSpaceDE w:val="0"/>
        <w:autoSpaceDN w:val="0"/>
        <w:adjustRightInd w:val="0"/>
        <w:spacing w:line="360" w:lineRule="auto"/>
        <w:ind w:firstLine="480" w:firstLineChars="200"/>
        <w:jc w:val="left"/>
        <w:rPr>
          <w:rFonts w:ascii="Calibri" w:hAnsi="Calibri" w:eastAsia="宋体" w:cs="Calibri"/>
          <w:kern w:val="0"/>
          <w:sz w:val="24"/>
          <w:szCs w:val="24"/>
        </w:rPr>
      </w:pPr>
      <w:r>
        <w:rPr>
          <w:rFonts w:hint="eastAsia" w:ascii="Calibri" w:hAnsi="Calibri" w:eastAsia="宋体" w:cs="Calibri"/>
          <w:kern w:val="0"/>
          <w:sz w:val="24"/>
          <w:szCs w:val="24"/>
        </w:rPr>
        <w:t>姓    名：</w:t>
      </w:r>
      <w:r>
        <w:rPr>
          <w:rFonts w:hint="eastAsia" w:ascii="Calibri" w:hAnsi="Calibri" w:eastAsia="宋体" w:cs="Calibri"/>
          <w:kern w:val="0"/>
          <w:sz w:val="24"/>
          <w:szCs w:val="24"/>
          <w:u w:val="single"/>
        </w:rPr>
        <w:t xml:space="preserve">                      </w:t>
      </w:r>
      <w:r>
        <w:rPr>
          <w:rFonts w:hint="eastAsia" w:ascii="Calibri" w:hAnsi="Calibri" w:eastAsia="宋体" w:cs="Calibri"/>
          <w:kern w:val="0"/>
          <w:sz w:val="24"/>
          <w:szCs w:val="24"/>
        </w:rPr>
        <w:t xml:space="preserve">    性        别：</w:t>
      </w:r>
      <w:r>
        <w:rPr>
          <w:rFonts w:hint="eastAsia" w:ascii="Calibri" w:hAnsi="Calibri" w:eastAsia="宋体" w:cs="Calibri"/>
          <w:kern w:val="0"/>
          <w:sz w:val="24"/>
          <w:szCs w:val="24"/>
          <w:u w:val="single"/>
        </w:rPr>
        <w:t xml:space="preserve">                </w:t>
      </w:r>
    </w:p>
    <w:p>
      <w:pPr>
        <w:autoSpaceDE w:val="0"/>
        <w:autoSpaceDN w:val="0"/>
        <w:adjustRightInd w:val="0"/>
        <w:spacing w:line="360" w:lineRule="auto"/>
        <w:ind w:firstLine="480" w:firstLineChars="200"/>
        <w:jc w:val="left"/>
        <w:rPr>
          <w:rFonts w:ascii="Calibri" w:hAnsi="Calibri" w:eastAsia="宋体" w:cs="Calibri"/>
          <w:kern w:val="0"/>
          <w:sz w:val="24"/>
          <w:szCs w:val="24"/>
        </w:rPr>
      </w:pPr>
      <w:r>
        <w:rPr>
          <w:rFonts w:hint="eastAsia" w:ascii="Calibri" w:hAnsi="Calibri" w:eastAsia="宋体" w:cs="Calibri"/>
          <w:kern w:val="0"/>
          <w:sz w:val="24"/>
          <w:szCs w:val="24"/>
        </w:rPr>
        <w:t>年    龄：</w:t>
      </w:r>
      <w:r>
        <w:rPr>
          <w:rFonts w:hint="eastAsia" w:ascii="Calibri" w:hAnsi="Calibri" w:eastAsia="宋体" w:cs="Calibri"/>
          <w:kern w:val="0"/>
          <w:sz w:val="24"/>
          <w:szCs w:val="24"/>
          <w:u w:val="single"/>
        </w:rPr>
        <w:t xml:space="preserve">                      </w:t>
      </w:r>
      <w:r>
        <w:rPr>
          <w:rFonts w:hint="eastAsia" w:ascii="Calibri" w:hAnsi="Calibri" w:eastAsia="宋体" w:cs="Calibri"/>
          <w:kern w:val="0"/>
          <w:sz w:val="24"/>
          <w:szCs w:val="24"/>
        </w:rPr>
        <w:t xml:space="preserve">    职        务：</w:t>
      </w:r>
      <w:r>
        <w:rPr>
          <w:rFonts w:hint="eastAsia" w:ascii="Calibri" w:hAnsi="Calibri" w:eastAsia="宋体" w:cs="Calibri"/>
          <w:kern w:val="0"/>
          <w:sz w:val="24"/>
          <w:szCs w:val="24"/>
          <w:u w:val="single"/>
        </w:rPr>
        <w:t xml:space="preserve">                </w:t>
      </w:r>
    </w:p>
    <w:p>
      <w:pPr>
        <w:autoSpaceDE w:val="0"/>
        <w:autoSpaceDN w:val="0"/>
        <w:adjustRightInd w:val="0"/>
        <w:spacing w:line="360" w:lineRule="auto"/>
        <w:ind w:firstLine="480" w:firstLineChars="200"/>
        <w:jc w:val="left"/>
        <w:rPr>
          <w:rFonts w:ascii="Calibri" w:hAnsi="Calibri" w:eastAsia="宋体" w:cs="Calibri"/>
          <w:kern w:val="0"/>
          <w:sz w:val="24"/>
          <w:szCs w:val="24"/>
        </w:rPr>
      </w:pPr>
      <w:r>
        <w:rPr>
          <w:rFonts w:hint="eastAsia" w:ascii="Calibri" w:hAnsi="Calibri" w:eastAsia="宋体" w:cs="Calibri"/>
          <w:kern w:val="0"/>
          <w:sz w:val="24"/>
          <w:szCs w:val="24"/>
        </w:rPr>
        <w:t>系</w:t>
      </w:r>
      <w:r>
        <w:rPr>
          <w:rFonts w:hint="eastAsia" w:ascii="Calibri" w:hAnsi="Calibri" w:eastAsia="宋体" w:cs="Calibri"/>
          <w:kern w:val="0"/>
          <w:sz w:val="24"/>
          <w:szCs w:val="24"/>
          <w:u w:val="single"/>
        </w:rPr>
        <w:t xml:space="preserve">                                    </w:t>
      </w:r>
      <w:r>
        <w:rPr>
          <w:rFonts w:hint="eastAsia" w:ascii="Calibri" w:hAnsi="Calibri" w:eastAsia="宋体" w:cs="Calibri"/>
          <w:kern w:val="0"/>
          <w:sz w:val="24"/>
          <w:szCs w:val="24"/>
        </w:rPr>
        <w:t>（投标人名称）的法定代表人。</w:t>
      </w:r>
    </w:p>
    <w:p>
      <w:pPr>
        <w:autoSpaceDE w:val="0"/>
        <w:autoSpaceDN w:val="0"/>
        <w:adjustRightInd w:val="0"/>
        <w:spacing w:line="360" w:lineRule="auto"/>
        <w:ind w:firstLine="960" w:firstLineChars="400"/>
        <w:jc w:val="left"/>
        <w:rPr>
          <w:rFonts w:ascii="Calibri" w:hAnsi="Calibri" w:eastAsia="宋体" w:cs="Calibri"/>
          <w:kern w:val="0"/>
          <w:sz w:val="24"/>
          <w:szCs w:val="24"/>
        </w:rPr>
      </w:pPr>
      <w:r>
        <w:rPr>
          <w:rFonts w:hint="eastAsia" w:ascii="Calibri" w:hAnsi="Calibri" w:eastAsia="宋体" w:cs="Calibri"/>
          <w:kern w:val="0"/>
          <w:sz w:val="24"/>
          <w:szCs w:val="24"/>
        </w:rPr>
        <w:t>特此证明。</w:t>
      </w:r>
    </w:p>
    <w:p>
      <w:pPr>
        <w:autoSpaceDE w:val="0"/>
        <w:autoSpaceDN w:val="0"/>
        <w:adjustRightInd w:val="0"/>
        <w:spacing w:line="360" w:lineRule="auto"/>
        <w:ind w:firstLine="480" w:firstLineChars="200"/>
        <w:jc w:val="left"/>
        <w:rPr>
          <w:rFonts w:ascii="Calibri" w:hAnsi="Calibri" w:eastAsia="宋体" w:cs="Calibri"/>
          <w:kern w:val="0"/>
          <w:sz w:val="24"/>
          <w:szCs w:val="24"/>
        </w:rPr>
      </w:pPr>
    </w:p>
    <w:p>
      <w:pPr>
        <w:autoSpaceDE w:val="0"/>
        <w:autoSpaceDN w:val="0"/>
        <w:adjustRightInd w:val="0"/>
        <w:spacing w:line="360" w:lineRule="auto"/>
        <w:ind w:firstLine="480" w:firstLineChars="200"/>
        <w:jc w:val="left"/>
        <w:rPr>
          <w:rFonts w:ascii="Calibri" w:hAnsi="Calibri" w:eastAsia="宋体" w:cs="Calibri"/>
          <w:kern w:val="0"/>
          <w:sz w:val="24"/>
          <w:szCs w:val="24"/>
        </w:rPr>
      </w:pPr>
      <w:r>
        <w:rPr>
          <w:rFonts w:hint="eastAsia" w:ascii="Calibri" w:hAnsi="Calibri" w:eastAsia="宋体" w:cs="Calibri"/>
          <w:kern w:val="0"/>
          <w:sz w:val="24"/>
          <w:szCs w:val="24"/>
        </w:rPr>
        <w:t>附：法定代表人身份证原件扫描件。</w:t>
      </w:r>
    </w:p>
    <w:p>
      <w:pPr>
        <w:autoSpaceDE w:val="0"/>
        <w:autoSpaceDN w:val="0"/>
        <w:adjustRightInd w:val="0"/>
        <w:spacing w:line="360" w:lineRule="auto"/>
        <w:ind w:firstLine="480" w:firstLineChars="200"/>
        <w:jc w:val="left"/>
        <w:rPr>
          <w:rFonts w:ascii="Calibri" w:hAnsi="Calibri" w:eastAsia="宋体" w:cs="Calibri"/>
          <w:kern w:val="0"/>
          <w:sz w:val="24"/>
          <w:szCs w:val="24"/>
        </w:rPr>
      </w:pPr>
    </w:p>
    <w:p>
      <w:pPr>
        <w:autoSpaceDE w:val="0"/>
        <w:autoSpaceDN w:val="0"/>
        <w:adjustRightInd w:val="0"/>
        <w:spacing w:line="360" w:lineRule="auto"/>
        <w:ind w:firstLine="480" w:firstLineChars="200"/>
        <w:jc w:val="left"/>
        <w:rPr>
          <w:rFonts w:ascii="Calibri" w:hAnsi="Calibri" w:eastAsia="宋体" w:cs="Calibri"/>
          <w:kern w:val="0"/>
          <w:sz w:val="24"/>
          <w:szCs w:val="24"/>
        </w:rPr>
      </w:pPr>
    </w:p>
    <w:p>
      <w:pPr>
        <w:autoSpaceDE w:val="0"/>
        <w:autoSpaceDN w:val="0"/>
        <w:adjustRightInd w:val="0"/>
        <w:spacing w:line="360" w:lineRule="auto"/>
        <w:ind w:firstLine="480" w:firstLineChars="200"/>
        <w:jc w:val="left"/>
        <w:rPr>
          <w:rFonts w:ascii="Calibri" w:hAnsi="Calibri" w:eastAsia="宋体" w:cs="Calibri"/>
          <w:kern w:val="0"/>
          <w:sz w:val="24"/>
          <w:szCs w:val="24"/>
        </w:rPr>
      </w:pPr>
    </w:p>
    <w:p>
      <w:pPr>
        <w:autoSpaceDE w:val="0"/>
        <w:autoSpaceDN w:val="0"/>
        <w:adjustRightInd w:val="0"/>
        <w:spacing w:line="360" w:lineRule="auto"/>
        <w:ind w:firstLine="480" w:firstLineChars="200"/>
        <w:jc w:val="left"/>
        <w:rPr>
          <w:rFonts w:ascii="Calibri" w:hAnsi="Calibri" w:eastAsia="宋体" w:cs="Calibri"/>
          <w:kern w:val="0"/>
          <w:sz w:val="24"/>
          <w:szCs w:val="24"/>
        </w:rPr>
      </w:pPr>
    </w:p>
    <w:p>
      <w:pPr>
        <w:autoSpaceDE w:val="0"/>
        <w:autoSpaceDN w:val="0"/>
        <w:adjustRightInd w:val="0"/>
        <w:spacing w:line="360" w:lineRule="auto"/>
        <w:ind w:firstLine="480" w:firstLineChars="200"/>
        <w:jc w:val="left"/>
        <w:rPr>
          <w:rFonts w:ascii="Calibri" w:hAnsi="Calibri" w:eastAsia="宋体" w:cs="Calibri"/>
          <w:kern w:val="0"/>
          <w:sz w:val="24"/>
          <w:szCs w:val="24"/>
        </w:rPr>
      </w:pPr>
    </w:p>
    <w:p>
      <w:pPr>
        <w:autoSpaceDE w:val="0"/>
        <w:autoSpaceDN w:val="0"/>
        <w:adjustRightInd w:val="0"/>
        <w:spacing w:line="360" w:lineRule="auto"/>
        <w:ind w:firstLine="4320" w:firstLineChars="1800"/>
        <w:jc w:val="left"/>
        <w:rPr>
          <w:rFonts w:ascii="Calibri" w:hAnsi="Calibri" w:eastAsia="宋体" w:cs="Calibri"/>
          <w:kern w:val="0"/>
          <w:sz w:val="24"/>
          <w:szCs w:val="24"/>
        </w:rPr>
      </w:pPr>
      <w:r>
        <w:rPr>
          <w:rFonts w:hint="eastAsia" w:ascii="Calibri" w:hAnsi="Calibri" w:eastAsia="宋体" w:cs="Calibri"/>
          <w:kern w:val="0"/>
          <w:sz w:val="24"/>
          <w:szCs w:val="24"/>
        </w:rPr>
        <w:t>投标人：</w:t>
      </w:r>
      <w:r>
        <w:rPr>
          <w:rFonts w:hint="eastAsia" w:ascii="Calibri" w:hAnsi="Calibri" w:eastAsia="宋体" w:cs="Calibri"/>
          <w:kern w:val="0"/>
          <w:sz w:val="24"/>
          <w:szCs w:val="24"/>
          <w:u w:val="single"/>
        </w:rPr>
        <w:t xml:space="preserve">                      </w:t>
      </w:r>
      <w:r>
        <w:rPr>
          <w:rFonts w:hint="eastAsia" w:ascii="Calibri" w:hAnsi="Calibri" w:eastAsia="宋体" w:cs="Calibri"/>
          <w:kern w:val="0"/>
          <w:sz w:val="24"/>
          <w:szCs w:val="24"/>
        </w:rPr>
        <w:t>（盖单位章）</w:t>
      </w:r>
    </w:p>
    <w:p>
      <w:pPr>
        <w:autoSpaceDE w:val="0"/>
        <w:autoSpaceDN w:val="0"/>
        <w:adjustRightInd w:val="0"/>
        <w:spacing w:line="360" w:lineRule="auto"/>
        <w:ind w:firstLine="2280" w:firstLineChars="950"/>
        <w:jc w:val="left"/>
        <w:rPr>
          <w:rFonts w:ascii="Calibri" w:hAnsi="Calibri" w:eastAsia="宋体" w:cs="Calibri"/>
          <w:kern w:val="0"/>
          <w:sz w:val="24"/>
          <w:szCs w:val="24"/>
        </w:rPr>
      </w:pPr>
    </w:p>
    <w:p>
      <w:pPr>
        <w:autoSpaceDE w:val="0"/>
        <w:autoSpaceDN w:val="0"/>
        <w:adjustRightInd w:val="0"/>
        <w:spacing w:line="500" w:lineRule="exact"/>
        <w:ind w:firstLine="480"/>
        <w:jc w:val="center"/>
        <w:rPr>
          <w:rFonts w:ascii="Calibri" w:hAnsi="Calibri" w:eastAsia="宋体" w:cs="Times New Roman"/>
          <w:b/>
          <w:bCs/>
          <w:sz w:val="24"/>
          <w:szCs w:val="24"/>
        </w:rPr>
      </w:pPr>
      <w:r>
        <w:rPr>
          <w:rFonts w:hint="eastAsia" w:ascii="Calibri" w:hAnsi="Calibri" w:eastAsia="宋体" w:cs="Calibri"/>
          <w:kern w:val="0"/>
          <w:sz w:val="24"/>
          <w:szCs w:val="24"/>
        </w:rPr>
        <w:t xml:space="preserve">                         </w:t>
      </w:r>
      <w:r>
        <w:rPr>
          <w:rFonts w:hint="eastAsia" w:ascii="Calibri" w:hAnsi="Calibri" w:eastAsia="宋体" w:cs="Calibri"/>
          <w:kern w:val="0"/>
          <w:sz w:val="24"/>
          <w:szCs w:val="24"/>
          <w:u w:val="single"/>
        </w:rPr>
        <w:t xml:space="preserve">          </w:t>
      </w:r>
      <w:r>
        <w:rPr>
          <w:rFonts w:hint="eastAsia" w:ascii="Calibri" w:hAnsi="Calibri" w:eastAsia="宋体" w:cs="Calibri"/>
          <w:kern w:val="0"/>
          <w:sz w:val="24"/>
          <w:szCs w:val="24"/>
        </w:rPr>
        <w:t>年</w:t>
      </w:r>
      <w:r>
        <w:rPr>
          <w:rFonts w:hint="eastAsia" w:ascii="Calibri" w:hAnsi="Calibri" w:eastAsia="宋体" w:cs="Calibri"/>
          <w:kern w:val="0"/>
          <w:sz w:val="24"/>
          <w:szCs w:val="24"/>
          <w:u w:val="single"/>
        </w:rPr>
        <w:t xml:space="preserve">        </w:t>
      </w:r>
      <w:r>
        <w:rPr>
          <w:rFonts w:hint="eastAsia" w:ascii="Calibri" w:hAnsi="Calibri" w:eastAsia="宋体" w:cs="Calibri"/>
          <w:kern w:val="0"/>
          <w:sz w:val="24"/>
          <w:szCs w:val="24"/>
        </w:rPr>
        <w:t>月</w:t>
      </w:r>
      <w:r>
        <w:rPr>
          <w:rFonts w:hint="eastAsia" w:ascii="Calibri" w:hAnsi="Calibri" w:eastAsia="宋体" w:cs="Calibri"/>
          <w:kern w:val="0"/>
          <w:sz w:val="24"/>
          <w:szCs w:val="24"/>
          <w:u w:val="single"/>
        </w:rPr>
        <w:t xml:space="preserve">        </w:t>
      </w:r>
      <w:r>
        <w:rPr>
          <w:rFonts w:hint="eastAsia" w:ascii="Calibri" w:hAnsi="Calibri" w:eastAsia="宋体" w:cs="Calibri"/>
          <w:kern w:val="0"/>
          <w:sz w:val="24"/>
          <w:szCs w:val="24"/>
        </w:rPr>
        <w:t>日</w:t>
      </w:r>
    </w:p>
    <w:p>
      <w:pPr>
        <w:autoSpaceDE w:val="0"/>
        <w:autoSpaceDN w:val="0"/>
        <w:adjustRightInd w:val="0"/>
        <w:spacing w:line="500" w:lineRule="exact"/>
        <w:ind w:firstLine="480"/>
        <w:jc w:val="center"/>
        <w:rPr>
          <w:rFonts w:ascii="Calibri" w:hAnsi="Calibri" w:eastAsia="宋体" w:cs="Times New Roman"/>
          <w:b/>
          <w:bCs/>
          <w:sz w:val="36"/>
          <w:szCs w:val="20"/>
        </w:rPr>
      </w:pPr>
    </w:p>
    <w:p>
      <w:pPr>
        <w:autoSpaceDE w:val="0"/>
        <w:autoSpaceDN w:val="0"/>
        <w:adjustRightInd w:val="0"/>
        <w:spacing w:line="500" w:lineRule="exact"/>
        <w:ind w:firstLine="480"/>
        <w:jc w:val="center"/>
        <w:rPr>
          <w:rFonts w:ascii="Calibri" w:hAnsi="Calibri" w:eastAsia="宋体" w:cs="Times New Roman"/>
          <w:b/>
          <w:bCs/>
          <w:sz w:val="36"/>
          <w:szCs w:val="20"/>
        </w:rPr>
      </w:pPr>
    </w:p>
    <w:p>
      <w:pPr>
        <w:autoSpaceDE w:val="0"/>
        <w:autoSpaceDN w:val="0"/>
        <w:adjustRightInd w:val="0"/>
        <w:spacing w:line="500" w:lineRule="exact"/>
        <w:ind w:firstLine="480"/>
        <w:jc w:val="center"/>
        <w:rPr>
          <w:rFonts w:ascii="Calibri" w:hAnsi="Calibri" w:eastAsia="宋体" w:cs="Times New Roman"/>
          <w:b/>
          <w:bCs/>
          <w:sz w:val="36"/>
          <w:szCs w:val="20"/>
        </w:rPr>
      </w:pPr>
    </w:p>
    <w:p>
      <w:pPr>
        <w:autoSpaceDE w:val="0"/>
        <w:autoSpaceDN w:val="0"/>
        <w:adjustRightInd w:val="0"/>
        <w:spacing w:line="500" w:lineRule="exact"/>
        <w:rPr>
          <w:rFonts w:ascii="Calibri" w:hAnsi="Calibri" w:eastAsia="宋体" w:cs="Times New Roman"/>
          <w:b/>
          <w:bCs/>
          <w:sz w:val="36"/>
          <w:szCs w:val="20"/>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autoSpaceDE w:val="0"/>
        <w:autoSpaceDN w:val="0"/>
        <w:adjustRightInd w:val="0"/>
        <w:spacing w:line="500" w:lineRule="exact"/>
        <w:rPr>
          <w:rFonts w:ascii="Calibri" w:hAnsi="Calibri" w:eastAsia="宋体" w:cs="Times New Roman"/>
          <w:b/>
          <w:bCs/>
          <w:sz w:val="36"/>
          <w:szCs w:val="20"/>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autoSpaceDE w:val="0"/>
        <w:autoSpaceDN w:val="0"/>
        <w:adjustRightInd w:val="0"/>
        <w:spacing w:line="500" w:lineRule="exact"/>
        <w:rPr>
          <w:rFonts w:ascii="Calibri" w:hAnsi="Calibri" w:eastAsia="宋体" w:cs="Times New Roman"/>
          <w:b/>
          <w:bCs/>
          <w:sz w:val="36"/>
          <w:szCs w:val="20"/>
        </w:rPr>
      </w:pPr>
    </w:p>
    <w:p>
      <w:pPr>
        <w:spacing w:line="500" w:lineRule="exact"/>
        <w:jc w:val="center"/>
        <w:rPr>
          <w:rFonts w:ascii="Calibri" w:hAnsi="Calibri" w:eastAsia="宋体" w:cs="Times New Roman"/>
          <w:b/>
          <w:bCs/>
          <w:sz w:val="32"/>
          <w:szCs w:val="32"/>
        </w:rPr>
      </w:pPr>
      <w:r>
        <w:rPr>
          <w:rFonts w:hint="eastAsia" w:ascii="Calibri" w:hAnsi="Calibri" w:eastAsia="宋体" w:cs="Times New Roman"/>
          <w:b/>
          <w:bCs/>
          <w:sz w:val="32"/>
          <w:szCs w:val="32"/>
        </w:rPr>
        <w:t>2、申请资格审查人简介</w:t>
      </w:r>
    </w:p>
    <w:tbl>
      <w:tblPr>
        <w:tblStyle w:val="23"/>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1"/>
        <w:gridCol w:w="1631"/>
        <w:gridCol w:w="2193"/>
        <w:gridCol w:w="1728"/>
        <w:gridCol w:w="30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80" w:hRule="atLeast"/>
          <w:jc w:val="center"/>
        </w:trPr>
        <w:tc>
          <w:tcPr>
            <w:tcW w:w="2382"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00" w:lineRule="exact"/>
              <w:jc w:val="center"/>
              <w:rPr>
                <w:rFonts w:ascii="Calibri" w:hAnsi="Calibri" w:eastAsia="宋体" w:cs="Times New Roman"/>
                <w:sz w:val="24"/>
                <w:szCs w:val="20"/>
              </w:rPr>
            </w:pPr>
            <w:r>
              <w:rPr>
                <w:rFonts w:hint="eastAsia" w:ascii="Calibri" w:hAnsi="Calibri" w:eastAsia="宋体" w:cs="Times New Roman"/>
                <w:sz w:val="24"/>
                <w:szCs w:val="20"/>
              </w:rPr>
              <w:t>单位名称</w:t>
            </w:r>
          </w:p>
        </w:tc>
        <w:tc>
          <w:tcPr>
            <w:tcW w:w="21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00" w:lineRule="exact"/>
              <w:jc w:val="center"/>
              <w:rPr>
                <w:rFonts w:ascii="Calibri" w:hAnsi="Calibri" w:eastAsia="宋体" w:cs="Times New Roman"/>
                <w:sz w:val="24"/>
                <w:szCs w:val="20"/>
              </w:rPr>
            </w:pPr>
          </w:p>
        </w:tc>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00" w:lineRule="exact"/>
              <w:jc w:val="center"/>
              <w:rPr>
                <w:rFonts w:ascii="Calibri" w:hAnsi="Calibri" w:eastAsia="宋体" w:cs="Times New Roman"/>
                <w:sz w:val="24"/>
                <w:szCs w:val="20"/>
              </w:rPr>
            </w:pPr>
            <w:r>
              <w:rPr>
                <w:rFonts w:hint="eastAsia" w:ascii="Calibri" w:hAnsi="Calibri" w:eastAsia="宋体" w:cs="Times New Roman"/>
                <w:sz w:val="24"/>
                <w:szCs w:val="20"/>
              </w:rPr>
              <w:t>地址</w:t>
            </w:r>
          </w:p>
        </w:tc>
        <w:tc>
          <w:tcPr>
            <w:tcW w:w="309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00" w:lineRule="exact"/>
              <w:jc w:val="center"/>
              <w:rPr>
                <w:rFonts w:ascii="Calibri" w:hAnsi="Calibri" w:eastAsia="宋体" w:cs="Times New Roman"/>
                <w:sz w:val="24"/>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80" w:hRule="atLeast"/>
          <w:jc w:val="center"/>
        </w:trPr>
        <w:tc>
          <w:tcPr>
            <w:tcW w:w="2382"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00" w:lineRule="exact"/>
              <w:jc w:val="center"/>
              <w:rPr>
                <w:rFonts w:ascii="Calibri" w:hAnsi="Calibri" w:eastAsia="宋体" w:cs="Times New Roman"/>
                <w:sz w:val="24"/>
                <w:szCs w:val="20"/>
              </w:rPr>
            </w:pPr>
            <w:r>
              <w:rPr>
                <w:rFonts w:hint="eastAsia" w:ascii="Calibri" w:hAnsi="Calibri" w:eastAsia="宋体" w:cs="Times New Roman"/>
                <w:sz w:val="24"/>
                <w:szCs w:val="20"/>
              </w:rPr>
              <w:t>单位性质</w:t>
            </w:r>
          </w:p>
        </w:tc>
        <w:tc>
          <w:tcPr>
            <w:tcW w:w="21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00" w:lineRule="exact"/>
              <w:jc w:val="center"/>
              <w:rPr>
                <w:rFonts w:ascii="Calibri" w:hAnsi="Calibri" w:eastAsia="宋体" w:cs="Times New Roman"/>
                <w:sz w:val="24"/>
                <w:szCs w:val="20"/>
              </w:rPr>
            </w:pPr>
          </w:p>
        </w:tc>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00" w:lineRule="exact"/>
              <w:jc w:val="center"/>
              <w:rPr>
                <w:rFonts w:ascii="Calibri" w:hAnsi="Calibri" w:eastAsia="宋体" w:cs="Times New Roman"/>
                <w:sz w:val="24"/>
                <w:szCs w:val="20"/>
              </w:rPr>
            </w:pPr>
            <w:r>
              <w:rPr>
                <w:rFonts w:hint="eastAsia" w:ascii="Calibri" w:hAnsi="Calibri" w:eastAsia="宋体" w:cs="Times New Roman"/>
                <w:sz w:val="24"/>
                <w:szCs w:val="20"/>
              </w:rPr>
              <w:t>法定代表人</w:t>
            </w:r>
          </w:p>
        </w:tc>
        <w:tc>
          <w:tcPr>
            <w:tcW w:w="309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00" w:lineRule="exact"/>
              <w:jc w:val="center"/>
              <w:rPr>
                <w:rFonts w:ascii="Calibri" w:hAnsi="Calibri" w:eastAsia="宋体" w:cs="Times New Roman"/>
                <w:sz w:val="24"/>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80" w:hRule="atLeast"/>
          <w:jc w:val="center"/>
        </w:trPr>
        <w:tc>
          <w:tcPr>
            <w:tcW w:w="2382"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00" w:lineRule="exact"/>
              <w:jc w:val="center"/>
              <w:rPr>
                <w:rFonts w:ascii="Calibri" w:hAnsi="Calibri" w:eastAsia="宋体" w:cs="Times New Roman"/>
                <w:sz w:val="24"/>
                <w:szCs w:val="20"/>
              </w:rPr>
            </w:pPr>
            <w:r>
              <w:rPr>
                <w:rFonts w:hint="eastAsia" w:ascii="Calibri" w:hAnsi="Calibri" w:eastAsia="宋体" w:cs="Times New Roman"/>
                <w:sz w:val="24"/>
                <w:szCs w:val="20"/>
              </w:rPr>
              <w:t>联系人</w:t>
            </w:r>
          </w:p>
        </w:tc>
        <w:tc>
          <w:tcPr>
            <w:tcW w:w="21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00" w:lineRule="exact"/>
              <w:jc w:val="center"/>
              <w:rPr>
                <w:rFonts w:ascii="Calibri" w:hAnsi="Calibri" w:eastAsia="宋体" w:cs="Times New Roman"/>
                <w:sz w:val="24"/>
                <w:szCs w:val="20"/>
              </w:rPr>
            </w:pPr>
          </w:p>
        </w:tc>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00" w:lineRule="exact"/>
              <w:jc w:val="center"/>
              <w:rPr>
                <w:rFonts w:ascii="Calibri" w:hAnsi="Calibri" w:eastAsia="宋体" w:cs="Times New Roman"/>
                <w:sz w:val="24"/>
                <w:szCs w:val="20"/>
              </w:rPr>
            </w:pPr>
            <w:r>
              <w:rPr>
                <w:rFonts w:hint="eastAsia" w:ascii="Calibri" w:hAnsi="Calibri" w:eastAsia="宋体" w:cs="Times New Roman"/>
                <w:sz w:val="24"/>
                <w:szCs w:val="20"/>
              </w:rPr>
              <w:t>联 系 电 话</w:t>
            </w:r>
          </w:p>
        </w:tc>
        <w:tc>
          <w:tcPr>
            <w:tcW w:w="309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00" w:lineRule="exact"/>
              <w:jc w:val="center"/>
              <w:rPr>
                <w:rFonts w:ascii="Calibri" w:hAnsi="Calibri" w:eastAsia="宋体" w:cs="Times New Roman"/>
                <w:sz w:val="24"/>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996" w:hRule="atLeast"/>
          <w:jc w:val="center"/>
        </w:trPr>
        <w:tc>
          <w:tcPr>
            <w:tcW w:w="751"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00" w:lineRule="exact"/>
              <w:jc w:val="center"/>
              <w:rPr>
                <w:rFonts w:ascii="Calibri" w:hAnsi="Calibri" w:eastAsia="宋体" w:cs="Times New Roman"/>
                <w:sz w:val="24"/>
                <w:szCs w:val="20"/>
              </w:rPr>
            </w:pPr>
            <w:r>
              <w:rPr>
                <w:rFonts w:hint="eastAsia" w:ascii="Calibri" w:hAnsi="Calibri" w:eastAsia="宋体" w:cs="Times New Roman"/>
                <w:sz w:val="24"/>
                <w:szCs w:val="20"/>
              </w:rPr>
              <w:t>申</w:t>
            </w:r>
          </w:p>
          <w:p>
            <w:pPr>
              <w:autoSpaceDE w:val="0"/>
              <w:autoSpaceDN w:val="0"/>
              <w:spacing w:line="500" w:lineRule="exact"/>
              <w:jc w:val="center"/>
              <w:rPr>
                <w:rFonts w:ascii="Calibri" w:hAnsi="Calibri" w:eastAsia="宋体" w:cs="Times New Roman"/>
                <w:sz w:val="24"/>
                <w:szCs w:val="20"/>
              </w:rPr>
            </w:pPr>
            <w:r>
              <w:rPr>
                <w:rFonts w:hint="eastAsia" w:ascii="Calibri" w:hAnsi="Calibri" w:eastAsia="宋体" w:cs="Times New Roman"/>
                <w:sz w:val="24"/>
                <w:szCs w:val="20"/>
              </w:rPr>
              <w:t>请</w:t>
            </w:r>
          </w:p>
          <w:p>
            <w:pPr>
              <w:autoSpaceDE w:val="0"/>
              <w:autoSpaceDN w:val="0"/>
              <w:spacing w:line="500" w:lineRule="exact"/>
              <w:jc w:val="center"/>
              <w:rPr>
                <w:rFonts w:ascii="Calibri" w:hAnsi="Calibri" w:eastAsia="宋体" w:cs="Times New Roman"/>
                <w:sz w:val="24"/>
                <w:szCs w:val="20"/>
              </w:rPr>
            </w:pPr>
            <w:r>
              <w:rPr>
                <w:rFonts w:hint="eastAsia" w:ascii="Calibri" w:hAnsi="Calibri" w:eastAsia="宋体" w:cs="Times New Roman"/>
                <w:sz w:val="24"/>
                <w:szCs w:val="20"/>
              </w:rPr>
              <w:t>资</w:t>
            </w:r>
          </w:p>
          <w:p>
            <w:pPr>
              <w:autoSpaceDE w:val="0"/>
              <w:autoSpaceDN w:val="0"/>
              <w:spacing w:line="500" w:lineRule="exact"/>
              <w:jc w:val="center"/>
              <w:rPr>
                <w:rFonts w:ascii="Calibri" w:hAnsi="Calibri" w:eastAsia="宋体" w:cs="Times New Roman"/>
                <w:sz w:val="24"/>
                <w:szCs w:val="20"/>
              </w:rPr>
            </w:pPr>
            <w:r>
              <w:rPr>
                <w:rFonts w:hint="eastAsia" w:ascii="Calibri" w:hAnsi="Calibri" w:eastAsia="宋体" w:cs="Times New Roman"/>
                <w:sz w:val="24"/>
                <w:szCs w:val="20"/>
              </w:rPr>
              <w:t>格</w:t>
            </w:r>
          </w:p>
          <w:p>
            <w:pPr>
              <w:autoSpaceDE w:val="0"/>
              <w:autoSpaceDN w:val="0"/>
              <w:spacing w:line="500" w:lineRule="exact"/>
              <w:jc w:val="center"/>
              <w:rPr>
                <w:rFonts w:ascii="Calibri" w:hAnsi="Calibri" w:eastAsia="宋体" w:cs="Times New Roman"/>
                <w:sz w:val="24"/>
                <w:szCs w:val="20"/>
              </w:rPr>
            </w:pPr>
            <w:r>
              <w:rPr>
                <w:rFonts w:hint="eastAsia" w:ascii="Calibri" w:hAnsi="Calibri" w:eastAsia="宋体" w:cs="Times New Roman"/>
                <w:sz w:val="24"/>
                <w:szCs w:val="20"/>
              </w:rPr>
              <w:t>审</w:t>
            </w:r>
          </w:p>
          <w:p>
            <w:pPr>
              <w:autoSpaceDE w:val="0"/>
              <w:autoSpaceDN w:val="0"/>
              <w:spacing w:line="500" w:lineRule="exact"/>
              <w:jc w:val="center"/>
              <w:rPr>
                <w:rFonts w:ascii="Calibri" w:hAnsi="Calibri" w:eastAsia="宋体" w:cs="Times New Roman"/>
                <w:sz w:val="24"/>
                <w:szCs w:val="20"/>
              </w:rPr>
            </w:pPr>
            <w:r>
              <w:rPr>
                <w:rFonts w:hint="eastAsia" w:ascii="Calibri" w:hAnsi="Calibri" w:eastAsia="宋体" w:cs="Times New Roman"/>
                <w:sz w:val="24"/>
                <w:szCs w:val="20"/>
              </w:rPr>
              <w:t>查</w:t>
            </w:r>
          </w:p>
          <w:p>
            <w:pPr>
              <w:autoSpaceDE w:val="0"/>
              <w:autoSpaceDN w:val="0"/>
              <w:spacing w:line="500" w:lineRule="exact"/>
              <w:jc w:val="center"/>
              <w:rPr>
                <w:rFonts w:ascii="Calibri" w:hAnsi="Calibri" w:eastAsia="宋体" w:cs="Times New Roman"/>
                <w:sz w:val="24"/>
                <w:szCs w:val="20"/>
              </w:rPr>
            </w:pPr>
            <w:r>
              <w:rPr>
                <w:rFonts w:hint="eastAsia" w:ascii="Calibri" w:hAnsi="Calibri" w:eastAsia="宋体" w:cs="Times New Roman"/>
                <w:sz w:val="24"/>
                <w:szCs w:val="20"/>
              </w:rPr>
              <w:t>人</w:t>
            </w:r>
          </w:p>
          <w:p>
            <w:pPr>
              <w:autoSpaceDE w:val="0"/>
              <w:autoSpaceDN w:val="0"/>
              <w:spacing w:line="500" w:lineRule="exact"/>
              <w:jc w:val="center"/>
              <w:rPr>
                <w:rFonts w:ascii="Calibri" w:hAnsi="Calibri" w:eastAsia="宋体" w:cs="Times New Roman"/>
                <w:sz w:val="24"/>
                <w:szCs w:val="20"/>
              </w:rPr>
            </w:pPr>
            <w:r>
              <w:rPr>
                <w:rFonts w:hint="eastAsia" w:ascii="Calibri" w:hAnsi="Calibri" w:eastAsia="宋体" w:cs="Times New Roman"/>
                <w:sz w:val="24"/>
                <w:szCs w:val="20"/>
              </w:rPr>
              <w:t>组</w:t>
            </w:r>
          </w:p>
          <w:p>
            <w:pPr>
              <w:autoSpaceDE w:val="0"/>
              <w:autoSpaceDN w:val="0"/>
              <w:spacing w:line="500" w:lineRule="exact"/>
              <w:jc w:val="center"/>
              <w:rPr>
                <w:rFonts w:ascii="Calibri" w:hAnsi="Calibri" w:eastAsia="宋体" w:cs="Times New Roman"/>
                <w:sz w:val="24"/>
                <w:szCs w:val="20"/>
              </w:rPr>
            </w:pPr>
            <w:r>
              <w:rPr>
                <w:rFonts w:hint="eastAsia" w:ascii="Calibri" w:hAnsi="Calibri" w:eastAsia="宋体" w:cs="Times New Roman"/>
                <w:sz w:val="24"/>
                <w:szCs w:val="20"/>
              </w:rPr>
              <w:t>织</w:t>
            </w:r>
          </w:p>
          <w:p>
            <w:pPr>
              <w:autoSpaceDE w:val="0"/>
              <w:autoSpaceDN w:val="0"/>
              <w:spacing w:line="500" w:lineRule="exact"/>
              <w:jc w:val="center"/>
              <w:rPr>
                <w:rFonts w:ascii="Calibri" w:hAnsi="Calibri" w:eastAsia="宋体" w:cs="Times New Roman"/>
                <w:sz w:val="24"/>
                <w:szCs w:val="20"/>
              </w:rPr>
            </w:pPr>
            <w:r>
              <w:rPr>
                <w:rFonts w:hint="eastAsia" w:ascii="Calibri" w:hAnsi="Calibri" w:eastAsia="宋体" w:cs="Times New Roman"/>
                <w:sz w:val="24"/>
                <w:szCs w:val="20"/>
              </w:rPr>
              <w:t>机</w:t>
            </w:r>
          </w:p>
          <w:p>
            <w:pPr>
              <w:autoSpaceDE w:val="0"/>
              <w:autoSpaceDN w:val="0"/>
              <w:spacing w:line="500" w:lineRule="exact"/>
              <w:jc w:val="center"/>
              <w:rPr>
                <w:rFonts w:ascii="Calibri" w:hAnsi="Calibri" w:eastAsia="宋体" w:cs="Times New Roman"/>
                <w:sz w:val="24"/>
                <w:szCs w:val="20"/>
              </w:rPr>
            </w:pPr>
            <w:r>
              <w:rPr>
                <w:rFonts w:hint="eastAsia" w:ascii="Calibri" w:hAnsi="Calibri" w:eastAsia="宋体" w:cs="Times New Roman"/>
                <w:sz w:val="24"/>
                <w:szCs w:val="20"/>
              </w:rPr>
              <w:t>构</w:t>
            </w:r>
          </w:p>
          <w:p>
            <w:pPr>
              <w:autoSpaceDE w:val="0"/>
              <w:autoSpaceDN w:val="0"/>
              <w:spacing w:line="500" w:lineRule="exact"/>
              <w:jc w:val="center"/>
              <w:rPr>
                <w:rFonts w:ascii="Calibri" w:hAnsi="Calibri" w:eastAsia="宋体" w:cs="Times New Roman"/>
                <w:sz w:val="24"/>
                <w:szCs w:val="20"/>
              </w:rPr>
            </w:pPr>
            <w:r>
              <w:rPr>
                <w:rFonts w:hint="eastAsia" w:ascii="Calibri" w:hAnsi="Calibri" w:eastAsia="宋体" w:cs="Times New Roman"/>
                <w:sz w:val="24"/>
                <w:szCs w:val="20"/>
              </w:rPr>
              <w:t>和</w:t>
            </w:r>
          </w:p>
          <w:p>
            <w:pPr>
              <w:autoSpaceDE w:val="0"/>
              <w:autoSpaceDN w:val="0"/>
              <w:spacing w:line="500" w:lineRule="exact"/>
              <w:jc w:val="center"/>
              <w:rPr>
                <w:rFonts w:ascii="Calibri" w:hAnsi="Calibri" w:eastAsia="宋体" w:cs="Times New Roman"/>
                <w:sz w:val="24"/>
                <w:szCs w:val="20"/>
              </w:rPr>
            </w:pPr>
            <w:r>
              <w:rPr>
                <w:rFonts w:hint="eastAsia" w:ascii="Calibri" w:hAnsi="Calibri" w:eastAsia="宋体" w:cs="Times New Roman"/>
                <w:sz w:val="24"/>
                <w:szCs w:val="20"/>
              </w:rPr>
              <w:t>企</w:t>
            </w:r>
          </w:p>
          <w:p>
            <w:pPr>
              <w:autoSpaceDE w:val="0"/>
              <w:autoSpaceDN w:val="0"/>
              <w:spacing w:line="500" w:lineRule="exact"/>
              <w:jc w:val="center"/>
              <w:rPr>
                <w:rFonts w:ascii="Calibri" w:hAnsi="Calibri" w:eastAsia="宋体" w:cs="Times New Roman"/>
                <w:sz w:val="24"/>
                <w:szCs w:val="20"/>
              </w:rPr>
            </w:pPr>
            <w:r>
              <w:rPr>
                <w:rFonts w:hint="eastAsia" w:ascii="Calibri" w:hAnsi="Calibri" w:eastAsia="宋体" w:cs="Times New Roman"/>
                <w:sz w:val="24"/>
                <w:szCs w:val="20"/>
              </w:rPr>
              <w:t>业</w:t>
            </w:r>
          </w:p>
          <w:p>
            <w:pPr>
              <w:autoSpaceDE w:val="0"/>
              <w:autoSpaceDN w:val="0"/>
              <w:spacing w:line="500" w:lineRule="exact"/>
              <w:jc w:val="center"/>
              <w:rPr>
                <w:rFonts w:ascii="Calibri" w:hAnsi="Calibri" w:eastAsia="宋体" w:cs="Times New Roman"/>
                <w:sz w:val="24"/>
                <w:szCs w:val="20"/>
              </w:rPr>
            </w:pPr>
            <w:r>
              <w:rPr>
                <w:rFonts w:hint="eastAsia" w:ascii="Calibri" w:hAnsi="Calibri" w:eastAsia="宋体" w:cs="Times New Roman"/>
                <w:sz w:val="24"/>
                <w:szCs w:val="20"/>
              </w:rPr>
              <w:t>概</w:t>
            </w:r>
          </w:p>
          <w:p>
            <w:pPr>
              <w:autoSpaceDE w:val="0"/>
              <w:autoSpaceDN w:val="0"/>
              <w:spacing w:line="500" w:lineRule="exact"/>
              <w:jc w:val="center"/>
              <w:rPr>
                <w:rFonts w:ascii="Calibri" w:hAnsi="Calibri" w:eastAsia="宋体" w:cs="Times New Roman"/>
                <w:sz w:val="24"/>
                <w:szCs w:val="20"/>
              </w:rPr>
            </w:pPr>
            <w:r>
              <w:rPr>
                <w:rFonts w:hint="eastAsia" w:ascii="Calibri" w:hAnsi="Calibri" w:eastAsia="宋体" w:cs="Times New Roman"/>
                <w:sz w:val="24"/>
                <w:szCs w:val="20"/>
              </w:rPr>
              <w:t>况</w:t>
            </w:r>
          </w:p>
        </w:tc>
        <w:tc>
          <w:tcPr>
            <w:tcW w:w="8649"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00" w:lineRule="exact"/>
              <w:jc w:val="center"/>
              <w:rPr>
                <w:rFonts w:ascii="Calibri" w:hAnsi="Calibri" w:eastAsia="宋体" w:cs="Times New Roman"/>
                <w:sz w:val="24"/>
                <w:szCs w:val="20"/>
              </w:rPr>
            </w:pPr>
          </w:p>
          <w:p>
            <w:pPr>
              <w:autoSpaceDE w:val="0"/>
              <w:autoSpaceDN w:val="0"/>
              <w:spacing w:line="500" w:lineRule="exact"/>
              <w:jc w:val="center"/>
              <w:rPr>
                <w:rFonts w:ascii="Calibri" w:hAnsi="Calibri" w:eastAsia="宋体" w:cs="Times New Roman"/>
                <w:sz w:val="24"/>
                <w:szCs w:val="20"/>
              </w:rPr>
            </w:pPr>
          </w:p>
          <w:p>
            <w:pPr>
              <w:autoSpaceDE w:val="0"/>
              <w:autoSpaceDN w:val="0"/>
              <w:spacing w:line="500" w:lineRule="exact"/>
              <w:jc w:val="center"/>
              <w:rPr>
                <w:rFonts w:ascii="Calibri" w:hAnsi="Calibri" w:eastAsia="宋体" w:cs="Times New Roman"/>
                <w:sz w:val="24"/>
                <w:szCs w:val="20"/>
              </w:rPr>
            </w:pPr>
          </w:p>
          <w:p>
            <w:pPr>
              <w:autoSpaceDE w:val="0"/>
              <w:autoSpaceDN w:val="0"/>
              <w:spacing w:line="500" w:lineRule="exact"/>
              <w:jc w:val="center"/>
              <w:rPr>
                <w:rFonts w:ascii="Calibri" w:hAnsi="Calibri" w:eastAsia="宋体" w:cs="Times New Roman"/>
                <w:sz w:val="24"/>
                <w:szCs w:val="20"/>
              </w:rPr>
            </w:pPr>
          </w:p>
          <w:p>
            <w:pPr>
              <w:autoSpaceDE w:val="0"/>
              <w:autoSpaceDN w:val="0"/>
              <w:spacing w:line="500" w:lineRule="exact"/>
              <w:jc w:val="center"/>
              <w:rPr>
                <w:rFonts w:ascii="Calibri" w:hAnsi="Calibri" w:eastAsia="宋体" w:cs="Times New Roman"/>
                <w:sz w:val="24"/>
                <w:szCs w:val="20"/>
              </w:rPr>
            </w:pPr>
          </w:p>
          <w:p>
            <w:pPr>
              <w:autoSpaceDE w:val="0"/>
              <w:autoSpaceDN w:val="0"/>
              <w:spacing w:line="500" w:lineRule="exact"/>
              <w:jc w:val="center"/>
              <w:rPr>
                <w:rFonts w:ascii="Calibri" w:hAnsi="Calibri" w:eastAsia="宋体" w:cs="Times New Roman"/>
                <w:sz w:val="24"/>
                <w:szCs w:val="20"/>
              </w:rPr>
            </w:pPr>
          </w:p>
          <w:p>
            <w:pPr>
              <w:autoSpaceDE w:val="0"/>
              <w:autoSpaceDN w:val="0"/>
              <w:spacing w:line="500" w:lineRule="exact"/>
              <w:jc w:val="center"/>
              <w:rPr>
                <w:rFonts w:ascii="Calibri" w:hAnsi="Calibri" w:eastAsia="宋体" w:cs="Times New Roman"/>
                <w:sz w:val="24"/>
                <w:szCs w:val="20"/>
              </w:rPr>
            </w:pPr>
          </w:p>
        </w:tc>
      </w:tr>
    </w:tbl>
    <w:p>
      <w:pPr>
        <w:spacing w:after="120"/>
        <w:rPr>
          <w:rFonts w:ascii="Times New Roman" w:hAnsi="Times New Roman" w:eastAsia="宋体" w:cs="Times New Roman"/>
          <w:szCs w:val="20"/>
        </w:rPr>
      </w:pPr>
    </w:p>
    <w:p>
      <w:pPr>
        <w:autoSpaceDE w:val="0"/>
        <w:autoSpaceDN w:val="0"/>
        <w:adjustRightInd w:val="0"/>
        <w:spacing w:line="500" w:lineRule="exact"/>
        <w:ind w:firstLine="480"/>
        <w:jc w:val="center"/>
        <w:rPr>
          <w:rFonts w:ascii="Calibri" w:hAnsi="Calibri" w:eastAsia="宋体" w:cs="Times New Roman"/>
          <w:b/>
          <w:bCs/>
          <w:sz w:val="32"/>
          <w:szCs w:val="32"/>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widowControl/>
        <w:spacing w:line="360" w:lineRule="auto"/>
        <w:jc w:val="center"/>
        <w:rPr>
          <w:rFonts w:ascii="Calibri" w:hAnsi="Calibri" w:eastAsia="宋体" w:cs="Times New Roman"/>
          <w:b/>
          <w:bCs/>
          <w:sz w:val="32"/>
          <w:szCs w:val="32"/>
        </w:rPr>
      </w:pPr>
    </w:p>
    <w:p>
      <w:pPr>
        <w:widowControl/>
        <w:spacing w:line="360" w:lineRule="auto"/>
        <w:jc w:val="center"/>
        <w:rPr>
          <w:rFonts w:ascii="Calibri" w:hAnsi="Calibri" w:eastAsia="宋体" w:cs="Times New Roman"/>
          <w:b/>
          <w:sz w:val="32"/>
          <w:szCs w:val="32"/>
        </w:rPr>
      </w:pPr>
      <w:r>
        <w:rPr>
          <w:rFonts w:hint="eastAsia" w:ascii="Calibri" w:hAnsi="Calibri" w:eastAsia="宋体" w:cs="Times New Roman"/>
          <w:b/>
          <w:bCs/>
          <w:sz w:val="32"/>
          <w:szCs w:val="32"/>
        </w:rPr>
        <w:t>3、真实性承</w:t>
      </w:r>
      <w:r>
        <w:rPr>
          <w:rFonts w:hint="eastAsia" w:ascii="Calibri" w:hAnsi="Calibri" w:eastAsia="宋体" w:cs="Times New Roman"/>
          <w:b/>
          <w:sz w:val="32"/>
          <w:szCs w:val="32"/>
        </w:rPr>
        <w:t>诺书</w:t>
      </w:r>
    </w:p>
    <w:p>
      <w:pPr>
        <w:spacing w:line="360" w:lineRule="auto"/>
        <w:rPr>
          <w:rFonts w:ascii="Calibri" w:hAnsi="Calibri" w:eastAsia="宋体" w:cs="Times New Roman"/>
          <w:szCs w:val="20"/>
        </w:rPr>
      </w:pPr>
    </w:p>
    <w:p>
      <w:pPr>
        <w:spacing w:line="360" w:lineRule="auto"/>
        <w:rPr>
          <w:rFonts w:ascii="Calibri" w:hAnsi="Calibri" w:eastAsia="宋体" w:cs="Times New Roman"/>
          <w:sz w:val="24"/>
          <w:szCs w:val="20"/>
        </w:rPr>
      </w:pPr>
      <w:r>
        <w:rPr>
          <w:rFonts w:hint="eastAsia" w:ascii="Calibri" w:hAnsi="Calibri" w:eastAsia="宋体" w:cs="Times New Roman"/>
          <w:sz w:val="24"/>
          <w:szCs w:val="20"/>
        </w:rPr>
        <w:t>致：</w:t>
      </w:r>
      <w:r>
        <w:rPr>
          <w:rFonts w:hint="eastAsia" w:ascii="Calibri" w:hAnsi="Calibri" w:eastAsia="宋体" w:cs="Times New Roman"/>
          <w:sz w:val="24"/>
          <w:szCs w:val="20"/>
          <w:u w:val="single"/>
        </w:rPr>
        <w:t xml:space="preserve">                        </w:t>
      </w:r>
      <w:r>
        <w:rPr>
          <w:rFonts w:hint="eastAsia" w:ascii="Calibri" w:hAnsi="Calibri" w:eastAsia="宋体" w:cs="Times New Roman"/>
          <w:sz w:val="24"/>
          <w:szCs w:val="20"/>
        </w:rPr>
        <w:t>（招标人名称）</w:t>
      </w:r>
    </w:p>
    <w:p>
      <w:pPr>
        <w:spacing w:line="360" w:lineRule="auto"/>
        <w:ind w:firstLine="480"/>
        <w:rPr>
          <w:rFonts w:ascii="Calibri" w:hAnsi="Calibri" w:eastAsia="宋体" w:cs="Times New Roman"/>
          <w:sz w:val="24"/>
          <w:szCs w:val="20"/>
        </w:rPr>
      </w:pPr>
      <w:r>
        <w:rPr>
          <w:rFonts w:hint="eastAsia" w:ascii="Calibri" w:hAnsi="Calibri" w:eastAsia="宋体" w:cs="Times New Roman"/>
          <w:sz w:val="24"/>
          <w:szCs w:val="20"/>
        </w:rPr>
        <w:t>我公司自愿参加贵单位（公司）</w:t>
      </w:r>
      <w:r>
        <w:rPr>
          <w:rFonts w:hint="eastAsia" w:ascii="Calibri" w:hAnsi="Calibri" w:eastAsia="宋体" w:cs="Times New Roman"/>
          <w:sz w:val="24"/>
          <w:szCs w:val="20"/>
          <w:u w:val="single"/>
        </w:rPr>
        <w:t xml:space="preserve">             </w:t>
      </w:r>
      <w:r>
        <w:rPr>
          <w:rFonts w:hint="eastAsia" w:ascii="Calibri" w:hAnsi="Calibri" w:eastAsia="宋体" w:cs="Times New Roman"/>
          <w:sz w:val="24"/>
          <w:szCs w:val="20"/>
        </w:rPr>
        <w:t>项目的投标，并接受对我公司的资格审查，我公司承诺：根据贵单位（公司）提出的资格审查合格条件标准和要求，本公司没有因骗取中标或者严重违约以及发生重大工程质量、安全生产事故等问题，被有关部门暂停投标资格并在暂停期内。本公司递交的资格审查申请书中的内容没有隐瞒、虚假、伪造等弄虚作假行为。发现该行为，贵公司可以拒绝我公司投标，如已中标，可取消我公司中标资格，并接受建设行政主管部门对我公司弄虚作假、违反公平和诚实信用原则做出的任何处理。</w:t>
      </w:r>
    </w:p>
    <w:p>
      <w:pPr>
        <w:spacing w:line="360" w:lineRule="auto"/>
        <w:rPr>
          <w:rFonts w:ascii="Calibri" w:hAnsi="Calibri" w:eastAsia="宋体" w:cs="Times New Roman"/>
          <w:sz w:val="24"/>
          <w:szCs w:val="20"/>
        </w:rPr>
      </w:pPr>
    </w:p>
    <w:p>
      <w:pPr>
        <w:spacing w:line="360" w:lineRule="auto"/>
        <w:rPr>
          <w:rFonts w:ascii="Calibri" w:hAnsi="Calibri" w:eastAsia="宋体" w:cs="Times New Roman"/>
          <w:sz w:val="24"/>
          <w:szCs w:val="20"/>
        </w:rPr>
      </w:pPr>
    </w:p>
    <w:p>
      <w:pPr>
        <w:spacing w:line="360" w:lineRule="auto"/>
        <w:ind w:firstLine="5160" w:firstLineChars="2150"/>
        <w:rPr>
          <w:rFonts w:ascii="Calibri" w:hAnsi="Calibri" w:eastAsia="宋体" w:cs="Times New Roman"/>
          <w:kern w:val="0"/>
          <w:sz w:val="24"/>
          <w:szCs w:val="20"/>
        </w:rPr>
      </w:pPr>
      <w:r>
        <w:rPr>
          <w:rFonts w:hint="eastAsia" w:ascii="Calibri" w:hAnsi="Calibri" w:eastAsia="宋体" w:cs="Times New Roman"/>
          <w:kern w:val="0"/>
          <w:sz w:val="24"/>
          <w:szCs w:val="20"/>
        </w:rPr>
        <w:t>投标人：（盖单位章）</w:t>
      </w:r>
    </w:p>
    <w:p>
      <w:pPr>
        <w:spacing w:line="360" w:lineRule="auto"/>
        <w:rPr>
          <w:rFonts w:ascii="Calibri" w:hAnsi="Calibri" w:eastAsia="宋体" w:cs="Times New Roman"/>
          <w:sz w:val="24"/>
          <w:szCs w:val="20"/>
        </w:rPr>
      </w:pPr>
    </w:p>
    <w:p>
      <w:pPr>
        <w:spacing w:line="360" w:lineRule="auto"/>
        <w:ind w:firstLine="5160" w:firstLineChars="2150"/>
        <w:rPr>
          <w:rFonts w:ascii="Calibri" w:hAnsi="Calibri" w:eastAsia="宋体" w:cs="Times New Roman"/>
          <w:kern w:val="0"/>
          <w:sz w:val="24"/>
          <w:szCs w:val="20"/>
        </w:rPr>
      </w:pPr>
      <w:r>
        <w:rPr>
          <w:rFonts w:hint="eastAsia" w:ascii="Calibri" w:hAnsi="Calibri" w:eastAsia="宋体" w:cs="Times New Roman"/>
          <w:kern w:val="0"/>
          <w:sz w:val="24"/>
          <w:szCs w:val="20"/>
        </w:rPr>
        <w:t>法定代表人</w:t>
      </w:r>
      <w:r>
        <w:rPr>
          <w:rFonts w:hint="eastAsia" w:ascii="Times New Roman" w:hAnsi="Times New Roman" w:eastAsia="宋体" w:cs="Calibri"/>
          <w:sz w:val="24"/>
          <w:szCs w:val="20"/>
        </w:rPr>
        <w:t>（签字或盖章）</w:t>
      </w:r>
      <w:r>
        <w:rPr>
          <w:rFonts w:hint="eastAsia" w:ascii="Calibri" w:hAnsi="Calibri" w:eastAsia="宋体" w:cs="Times New Roman"/>
          <w:kern w:val="0"/>
          <w:sz w:val="24"/>
          <w:szCs w:val="20"/>
        </w:rPr>
        <w:t>：</w:t>
      </w:r>
    </w:p>
    <w:p>
      <w:pPr>
        <w:spacing w:line="360" w:lineRule="auto"/>
        <w:rPr>
          <w:rFonts w:ascii="Calibri" w:hAnsi="Calibri" w:eastAsia="宋体" w:cs="Times New Roman"/>
          <w:kern w:val="0"/>
          <w:sz w:val="24"/>
          <w:szCs w:val="20"/>
        </w:rPr>
      </w:pPr>
      <w:r>
        <w:rPr>
          <w:rFonts w:hint="eastAsia" w:ascii="Calibri" w:hAnsi="Calibri" w:eastAsia="宋体" w:cs="Times New Roman"/>
          <w:kern w:val="0"/>
          <w:sz w:val="24"/>
          <w:szCs w:val="20"/>
        </w:rPr>
        <w:t xml:space="preserve"> </w:t>
      </w:r>
    </w:p>
    <w:p>
      <w:pPr>
        <w:spacing w:line="360" w:lineRule="auto"/>
        <w:ind w:firstLine="5280" w:firstLineChars="2200"/>
        <w:rPr>
          <w:rFonts w:ascii="Calibri" w:hAnsi="Calibri" w:eastAsia="宋体" w:cs="Times New Roman"/>
          <w:kern w:val="0"/>
          <w:sz w:val="24"/>
          <w:szCs w:val="20"/>
        </w:rPr>
      </w:pPr>
      <w:r>
        <w:rPr>
          <w:rFonts w:hint="eastAsia" w:ascii="Calibri" w:hAnsi="Calibri" w:eastAsia="宋体" w:cs="Times New Roman"/>
          <w:kern w:val="0"/>
          <w:sz w:val="24"/>
          <w:szCs w:val="20"/>
        </w:rPr>
        <w:t xml:space="preserve"> 年   月   日</w:t>
      </w:r>
    </w:p>
    <w:p>
      <w:pPr>
        <w:spacing w:after="120"/>
        <w:rPr>
          <w:rFonts w:ascii="Times New Roman" w:hAnsi="Times New Roman" w:eastAsia="宋体" w:cs="Times New Roman"/>
          <w:szCs w:val="20"/>
        </w:rPr>
      </w:pPr>
    </w:p>
    <w:p>
      <w:pPr>
        <w:rPr>
          <w:rFonts w:ascii="Calibri" w:hAnsi="Calibri" w:eastAsia="宋体" w:cs="Times New Roman"/>
          <w:b/>
          <w:sz w:val="28"/>
          <w:szCs w:val="28"/>
        </w:rPr>
      </w:pPr>
    </w:p>
    <w:p>
      <w:pPr>
        <w:widowControl/>
        <w:spacing w:line="360" w:lineRule="auto"/>
        <w:jc w:val="center"/>
        <w:rPr>
          <w:rFonts w:ascii="Calibri" w:hAnsi="Calibri" w:eastAsia="宋体" w:cs="Times New Roman"/>
          <w:b/>
          <w:sz w:val="32"/>
          <w:szCs w:val="32"/>
        </w:rPr>
      </w:pPr>
    </w:p>
    <w:p>
      <w:pPr>
        <w:widowControl/>
        <w:spacing w:line="360" w:lineRule="auto"/>
        <w:jc w:val="center"/>
        <w:rPr>
          <w:rFonts w:ascii="Calibri" w:hAnsi="Calibri" w:eastAsia="宋体" w:cs="Times New Roman"/>
          <w:b/>
          <w:sz w:val="32"/>
          <w:szCs w:val="32"/>
        </w:rPr>
      </w:pPr>
    </w:p>
    <w:p>
      <w:pPr>
        <w:widowControl/>
        <w:spacing w:line="360" w:lineRule="auto"/>
        <w:jc w:val="center"/>
        <w:rPr>
          <w:rFonts w:ascii="Calibri" w:hAnsi="Calibri" w:eastAsia="宋体" w:cs="Times New Roman"/>
          <w:b/>
          <w:sz w:val="32"/>
          <w:szCs w:val="32"/>
        </w:rPr>
      </w:pPr>
    </w:p>
    <w:p>
      <w:pPr>
        <w:widowControl/>
        <w:spacing w:line="360" w:lineRule="auto"/>
        <w:jc w:val="center"/>
        <w:rPr>
          <w:rFonts w:ascii="Calibri" w:hAnsi="Calibri" w:eastAsia="宋体" w:cs="Times New Roman"/>
          <w:b/>
          <w:sz w:val="32"/>
          <w:szCs w:val="32"/>
        </w:rPr>
      </w:pPr>
    </w:p>
    <w:p>
      <w:pPr>
        <w:widowControl/>
        <w:spacing w:line="360" w:lineRule="auto"/>
        <w:jc w:val="center"/>
        <w:rPr>
          <w:rFonts w:ascii="Calibri" w:hAnsi="Calibri" w:eastAsia="宋体" w:cs="Times New Roman"/>
          <w:b/>
          <w:sz w:val="32"/>
          <w:szCs w:val="32"/>
        </w:rPr>
      </w:pPr>
    </w:p>
    <w:p>
      <w:pPr>
        <w:widowControl/>
        <w:spacing w:line="360" w:lineRule="auto"/>
        <w:jc w:val="center"/>
        <w:rPr>
          <w:rFonts w:ascii="Calibri" w:hAnsi="Calibri" w:eastAsia="宋体" w:cs="Times New Roman"/>
          <w:b/>
          <w:sz w:val="32"/>
          <w:szCs w:val="32"/>
        </w:rPr>
      </w:pPr>
    </w:p>
    <w:p>
      <w:pPr>
        <w:widowControl/>
        <w:spacing w:line="360" w:lineRule="auto"/>
        <w:jc w:val="center"/>
        <w:rPr>
          <w:rFonts w:ascii="Calibri" w:hAnsi="Calibri" w:eastAsia="宋体" w:cs="Times New Roman"/>
          <w:b/>
          <w:sz w:val="32"/>
          <w:szCs w:val="32"/>
        </w:rPr>
      </w:pPr>
    </w:p>
    <w:p>
      <w:pPr>
        <w:widowControl/>
        <w:spacing w:line="360" w:lineRule="auto"/>
        <w:jc w:val="center"/>
        <w:rPr>
          <w:rFonts w:ascii="Calibri" w:hAnsi="Calibri" w:eastAsia="宋体" w:cs="Times New Roman"/>
          <w:b/>
          <w:sz w:val="32"/>
          <w:szCs w:val="32"/>
        </w:rPr>
      </w:pPr>
    </w:p>
    <w:p>
      <w:pPr>
        <w:widowControl/>
        <w:spacing w:line="360" w:lineRule="auto"/>
        <w:rPr>
          <w:rFonts w:ascii="Calibri" w:hAnsi="Calibri" w:eastAsia="宋体" w:cs="Times New Roman"/>
          <w:b/>
          <w:bCs/>
          <w:sz w:val="32"/>
          <w:szCs w:val="32"/>
        </w:rPr>
      </w:pPr>
      <w:r>
        <w:rPr>
          <w:rFonts w:ascii="Times New Roman" w:hAnsi="Times New Roman" w:eastAsia="宋体" w:cs="Times New Roman"/>
          <w:szCs w:val="20"/>
        </w:rPr>
        <w:br w:type="page"/>
      </w:r>
      <w:r>
        <w:rPr>
          <w:rFonts w:hint="eastAsia" w:ascii="Calibri" w:hAnsi="Calibri" w:eastAsia="宋体" w:cs="Times New Roman"/>
          <w:b/>
          <w:bCs/>
          <w:sz w:val="32"/>
          <w:szCs w:val="32"/>
        </w:rPr>
        <w:t>4、具备履行合同所必需的设备和专业技术能力的书面声明</w:t>
      </w:r>
    </w:p>
    <w:p>
      <w:pPr>
        <w:spacing w:line="360" w:lineRule="auto"/>
        <w:ind w:firstLine="492"/>
        <w:rPr>
          <w:rFonts w:ascii="宋体" w:hAnsi="宋体" w:eastAsia="宋体" w:cs="Times New Roman"/>
          <w:bCs/>
          <w:szCs w:val="21"/>
        </w:rPr>
      </w:pPr>
      <w:r>
        <w:rPr>
          <w:rFonts w:hint="eastAsia" w:ascii="宋体" w:hAnsi="宋体" w:eastAsia="宋体" w:cs="Times New Roman"/>
          <w:bCs/>
          <w:szCs w:val="21"/>
        </w:rPr>
        <w:t>我单位郑重声明：我单位具备履行本项目合同所必需的设备和专业技术能力，为履行本项合同我公司具备如下主要设备和主要专业技术能力：</w:t>
      </w:r>
    </w:p>
    <w:p>
      <w:pPr>
        <w:spacing w:line="360" w:lineRule="auto"/>
        <w:ind w:firstLine="492"/>
        <w:rPr>
          <w:rFonts w:ascii="宋体" w:hAnsi="宋体" w:eastAsia="宋体" w:cs="Times New Roman"/>
          <w:bCs/>
          <w:szCs w:val="21"/>
        </w:rPr>
      </w:pPr>
      <w:r>
        <w:rPr>
          <w:rFonts w:hint="eastAsia" w:ascii="宋体" w:hAnsi="宋体" w:eastAsia="宋体" w:cs="Times New Roman"/>
          <w:bCs/>
          <w:szCs w:val="21"/>
        </w:rPr>
        <w:t>主要设备有：。</w:t>
      </w:r>
    </w:p>
    <w:p>
      <w:pPr>
        <w:spacing w:line="360" w:lineRule="auto"/>
        <w:ind w:firstLine="492"/>
        <w:rPr>
          <w:rFonts w:ascii="Times New Roman" w:hAnsi="Times New Roman" w:eastAsia="宋体" w:cs="Times New Roman"/>
          <w:szCs w:val="20"/>
        </w:rPr>
      </w:pPr>
      <w:r>
        <w:rPr>
          <w:rFonts w:hint="eastAsia" w:ascii="宋体" w:hAnsi="宋体" w:eastAsia="宋体" w:cs="Times New Roman"/>
          <w:bCs/>
          <w:szCs w:val="21"/>
        </w:rPr>
        <w:t>主要专业技术能力有：。</w:t>
      </w:r>
    </w:p>
    <w:p>
      <w:pPr>
        <w:rPr>
          <w:rFonts w:ascii="Times New Roman" w:hAnsi="Times New Roman" w:eastAsia="宋体" w:cs="Times New Roman"/>
          <w:szCs w:val="20"/>
        </w:rPr>
      </w:pPr>
    </w:p>
    <w:p>
      <w:pPr>
        <w:spacing w:line="560" w:lineRule="exact"/>
        <w:rPr>
          <w:rFonts w:ascii="Calibri" w:hAnsi="Calibri" w:eastAsia="宋体" w:cs="Times New Roman"/>
          <w:b/>
          <w:sz w:val="44"/>
          <w:szCs w:val="44"/>
        </w:rPr>
      </w:pPr>
      <w:r>
        <w:rPr>
          <w:rFonts w:hint="eastAsia" w:ascii="Calibri" w:hAnsi="Calibri" w:eastAsia="Calibri" w:cs="Times New Roman"/>
          <w:kern w:val="0"/>
          <w:sz w:val="24"/>
          <w:szCs w:val="24"/>
        </w:rPr>
        <w:br w:type="page"/>
      </w:r>
    </w:p>
    <w:p>
      <w:pPr>
        <w:jc w:val="center"/>
        <w:rPr>
          <w:rFonts w:ascii="Calibri" w:hAnsi="Calibri" w:eastAsia="宋体" w:cs="Times New Roman"/>
          <w:b/>
          <w:sz w:val="44"/>
          <w:szCs w:val="44"/>
        </w:rPr>
      </w:pPr>
    </w:p>
    <w:p>
      <w:pPr>
        <w:jc w:val="center"/>
        <w:rPr>
          <w:rFonts w:ascii="Calibri" w:hAnsi="Calibri" w:eastAsia="宋体" w:cs="Times New Roman"/>
          <w:sz w:val="44"/>
          <w:szCs w:val="44"/>
        </w:rPr>
      </w:pPr>
      <w:r>
        <w:rPr>
          <w:rFonts w:hint="eastAsia" w:ascii="Calibri" w:hAnsi="Calibri" w:eastAsia="宋体" w:cs="Times New Roman"/>
          <w:sz w:val="44"/>
          <w:szCs w:val="44"/>
          <w:u w:val="single"/>
        </w:rPr>
        <w:t xml:space="preserve">（项目名称及标段）    </w:t>
      </w:r>
      <w:r>
        <w:rPr>
          <w:rFonts w:hint="eastAsia" w:ascii="Calibri" w:hAnsi="Calibri" w:eastAsia="宋体" w:cs="Times New Roman"/>
          <w:sz w:val="44"/>
          <w:szCs w:val="44"/>
        </w:rPr>
        <w:t>货物招标</w:t>
      </w:r>
    </w:p>
    <w:p>
      <w:pPr>
        <w:jc w:val="center"/>
        <w:rPr>
          <w:rFonts w:ascii="Calibri" w:hAnsi="Calibri" w:eastAsia="宋体" w:cs="Times New Roman"/>
          <w:sz w:val="28"/>
          <w:szCs w:val="28"/>
        </w:rPr>
      </w:pPr>
    </w:p>
    <w:p>
      <w:pPr>
        <w:jc w:val="center"/>
        <w:rPr>
          <w:rFonts w:ascii="Calibri" w:hAnsi="Calibri" w:eastAsia="宋体" w:cs="Times New Roman"/>
          <w:sz w:val="72"/>
          <w:szCs w:val="72"/>
        </w:rPr>
      </w:pPr>
    </w:p>
    <w:p>
      <w:pPr>
        <w:jc w:val="center"/>
        <w:rPr>
          <w:rFonts w:ascii="Cambria Math" w:hAnsi="Cambria Math" w:eastAsia="Cambria Math" w:cs="Times New Roman"/>
          <w:sz w:val="96"/>
          <w:szCs w:val="96"/>
        </w:rPr>
      </w:pPr>
      <w:r>
        <w:rPr>
          <w:rFonts w:hint="eastAsia" w:ascii="宋体" w:hAnsi="宋体" w:eastAsia="宋体" w:cs="宋体"/>
          <w:sz w:val="96"/>
          <w:szCs w:val="96"/>
        </w:rPr>
        <w:t>投</w:t>
      </w:r>
      <w:r>
        <w:rPr>
          <w:rFonts w:hint="eastAsia" w:ascii="Cambria Math" w:hAnsi="Cambria Math" w:eastAsia="Cambria Math" w:cs="Times New Roman"/>
          <w:sz w:val="96"/>
          <w:szCs w:val="96"/>
        </w:rPr>
        <w:t xml:space="preserve"> </w:t>
      </w:r>
      <w:r>
        <w:rPr>
          <w:rFonts w:hint="eastAsia" w:ascii="宋体" w:hAnsi="宋体" w:eastAsia="宋体" w:cs="宋体"/>
          <w:sz w:val="96"/>
          <w:szCs w:val="96"/>
        </w:rPr>
        <w:t>标</w:t>
      </w:r>
      <w:r>
        <w:rPr>
          <w:rFonts w:hint="eastAsia" w:ascii="Cambria Math" w:hAnsi="Cambria Math" w:eastAsia="Cambria Math" w:cs="Times New Roman"/>
          <w:sz w:val="96"/>
          <w:szCs w:val="96"/>
        </w:rPr>
        <w:t xml:space="preserve"> </w:t>
      </w:r>
      <w:r>
        <w:rPr>
          <w:rFonts w:hint="eastAsia" w:ascii="宋体" w:hAnsi="宋体" w:eastAsia="宋体" w:cs="宋体"/>
          <w:sz w:val="96"/>
          <w:szCs w:val="96"/>
        </w:rPr>
        <w:t>文</w:t>
      </w:r>
      <w:r>
        <w:rPr>
          <w:rFonts w:hint="eastAsia" w:ascii="Cambria Math" w:hAnsi="Cambria Math" w:eastAsia="Cambria Math" w:cs="Times New Roman"/>
          <w:sz w:val="96"/>
          <w:szCs w:val="96"/>
        </w:rPr>
        <w:t xml:space="preserve"> </w:t>
      </w:r>
      <w:r>
        <w:rPr>
          <w:rFonts w:hint="eastAsia" w:ascii="宋体" w:hAnsi="宋体" w:eastAsia="宋体" w:cs="宋体"/>
          <w:sz w:val="96"/>
          <w:szCs w:val="96"/>
        </w:rPr>
        <w:t>件</w:t>
      </w:r>
    </w:p>
    <w:p>
      <w:pPr>
        <w:jc w:val="center"/>
        <w:rPr>
          <w:rFonts w:ascii="Calibri" w:hAnsi="Calibri" w:eastAsia="宋体" w:cs="Times New Roman"/>
          <w:sz w:val="28"/>
          <w:szCs w:val="28"/>
        </w:rPr>
      </w:pPr>
    </w:p>
    <w:p>
      <w:pPr>
        <w:jc w:val="center"/>
        <w:rPr>
          <w:rFonts w:ascii="Calibri" w:hAnsi="Calibri" w:eastAsia="宋体" w:cs="Times New Roman"/>
          <w:sz w:val="28"/>
          <w:szCs w:val="28"/>
        </w:rPr>
      </w:pPr>
      <w:r>
        <w:rPr>
          <w:rFonts w:hint="eastAsia" w:ascii="Calibri" w:hAnsi="Calibri" w:eastAsia="宋体" w:cs="Times New Roman"/>
          <w:sz w:val="28"/>
          <w:szCs w:val="28"/>
        </w:rPr>
        <w:t xml:space="preserve">标段编号： </w:t>
      </w:r>
    </w:p>
    <w:p>
      <w:pPr>
        <w:jc w:val="center"/>
        <w:rPr>
          <w:rFonts w:ascii="Calibri" w:hAnsi="Calibri" w:eastAsia="宋体" w:cs="Times New Roman"/>
          <w:sz w:val="28"/>
          <w:szCs w:val="28"/>
        </w:rPr>
      </w:pPr>
    </w:p>
    <w:p>
      <w:pPr>
        <w:rPr>
          <w:rFonts w:ascii="Calibri" w:hAnsi="Calibri" w:eastAsia="宋体" w:cs="Times New Roman"/>
          <w:sz w:val="28"/>
          <w:szCs w:val="28"/>
        </w:rPr>
      </w:pPr>
    </w:p>
    <w:p>
      <w:pPr>
        <w:jc w:val="center"/>
        <w:rPr>
          <w:rFonts w:ascii="Calibri" w:hAnsi="Calibri" w:eastAsia="宋体" w:cs="Times New Roman"/>
          <w:sz w:val="28"/>
          <w:szCs w:val="28"/>
        </w:rPr>
      </w:pPr>
    </w:p>
    <w:p>
      <w:pPr>
        <w:jc w:val="center"/>
        <w:rPr>
          <w:rFonts w:ascii="Calibri" w:hAnsi="Calibri" w:eastAsia="宋体" w:cs="Times New Roman"/>
          <w:sz w:val="28"/>
          <w:szCs w:val="28"/>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jc w:val="center"/>
        <w:rPr>
          <w:rFonts w:ascii="Calibri" w:hAnsi="Calibri" w:eastAsia="宋体" w:cs="Times New Roman"/>
          <w:sz w:val="28"/>
          <w:szCs w:val="28"/>
        </w:rPr>
      </w:pPr>
    </w:p>
    <w:p>
      <w:pPr>
        <w:jc w:val="center"/>
        <w:rPr>
          <w:rFonts w:ascii="Calibri" w:hAnsi="Calibri" w:eastAsia="宋体" w:cs="Times New Roman"/>
          <w:sz w:val="28"/>
          <w:szCs w:val="28"/>
        </w:rPr>
      </w:pPr>
    </w:p>
    <w:p>
      <w:pPr>
        <w:jc w:val="center"/>
        <w:rPr>
          <w:rFonts w:ascii="Calibri" w:hAnsi="Calibri" w:eastAsia="宋体" w:cs="Times New Roman"/>
          <w:sz w:val="28"/>
          <w:szCs w:val="28"/>
        </w:rPr>
      </w:pPr>
    </w:p>
    <w:p>
      <w:pPr>
        <w:ind w:firstLine="1120" w:firstLineChars="400"/>
        <w:jc w:val="left"/>
        <w:rPr>
          <w:rFonts w:ascii="Calibri" w:hAnsi="Calibri" w:eastAsia="宋体" w:cs="Times New Roman"/>
          <w:sz w:val="28"/>
          <w:szCs w:val="28"/>
          <w:u w:val="single"/>
        </w:rPr>
      </w:pPr>
      <w:r>
        <w:rPr>
          <w:rFonts w:hint="eastAsia" w:ascii="Calibri" w:hAnsi="Calibri" w:eastAsia="宋体" w:cs="Times New Roman"/>
          <w:sz w:val="28"/>
          <w:szCs w:val="28"/>
        </w:rPr>
        <w:t>投标人（盖单位章）：</w:t>
      </w:r>
      <w:r>
        <w:rPr>
          <w:rFonts w:hint="eastAsia" w:ascii="Calibri" w:hAnsi="Calibri" w:eastAsia="宋体" w:cs="Times New Roman"/>
          <w:sz w:val="28"/>
          <w:szCs w:val="28"/>
          <w:u w:val="single"/>
        </w:rPr>
        <w:t xml:space="preserve">                            </w:t>
      </w:r>
    </w:p>
    <w:p>
      <w:pPr>
        <w:ind w:firstLine="1120" w:firstLineChars="400"/>
        <w:rPr>
          <w:rFonts w:ascii="Calibri" w:hAnsi="Calibri" w:eastAsia="宋体" w:cs="Times New Roman"/>
          <w:sz w:val="28"/>
          <w:szCs w:val="28"/>
        </w:rPr>
      </w:pPr>
      <w:r>
        <w:rPr>
          <w:rFonts w:hint="eastAsia" w:ascii="Calibri" w:hAnsi="Calibri" w:eastAsia="宋体" w:cs="Times New Roman"/>
          <w:sz w:val="28"/>
          <w:szCs w:val="28"/>
        </w:rPr>
        <w:t>日         期：     年    月     日</w:t>
      </w:r>
    </w:p>
    <w:p>
      <w:pPr>
        <w:tabs>
          <w:tab w:val="left" w:pos="1300"/>
          <w:tab w:val="left" w:pos="1600"/>
        </w:tabs>
        <w:spacing w:line="480" w:lineRule="exact"/>
        <w:rPr>
          <w:rFonts w:ascii="Calibri" w:hAnsi="Calibri" w:eastAsia="宋体" w:cs="Times New Roman"/>
          <w:kern w:val="0"/>
          <w:sz w:val="24"/>
          <w:szCs w:val="24"/>
        </w:rPr>
      </w:pPr>
      <w:r>
        <w:rPr>
          <w:rFonts w:ascii="Calibri" w:hAnsi="Calibri" w:eastAsia="宋体" w:cs="Times New Roman"/>
          <w:b/>
          <w:bCs/>
          <w:szCs w:val="20"/>
        </w:rPr>
        <w:br w:type="page"/>
      </w:r>
      <w:bookmarkStart w:id="225" w:name="_Toc397975327"/>
      <w:r>
        <w:rPr>
          <w:rFonts w:hint="eastAsia" w:ascii="Calibri" w:hAnsi="Calibri" w:eastAsia="宋体" w:cs="Times New Roman"/>
          <w:b/>
          <w:bCs/>
          <w:sz w:val="24"/>
          <w:szCs w:val="24"/>
        </w:rPr>
        <w:t>1.投标函</w:t>
      </w:r>
      <w:bookmarkEnd w:id="225"/>
    </w:p>
    <w:p>
      <w:pPr>
        <w:spacing w:line="360" w:lineRule="auto"/>
        <w:jc w:val="center"/>
        <w:rPr>
          <w:rFonts w:ascii="Calibri" w:hAnsi="Calibri" w:eastAsia="宋体" w:cs="Calibri"/>
          <w:b/>
          <w:sz w:val="32"/>
          <w:szCs w:val="32"/>
        </w:rPr>
      </w:pPr>
      <w:r>
        <w:rPr>
          <w:rFonts w:hint="eastAsia" w:ascii="Calibri" w:hAnsi="Calibri" w:eastAsia="宋体" w:cs="Calibri"/>
          <w:b/>
          <w:sz w:val="32"/>
          <w:szCs w:val="32"/>
        </w:rPr>
        <w:t>投标函</w:t>
      </w:r>
    </w:p>
    <w:p>
      <w:pPr>
        <w:spacing w:line="360" w:lineRule="auto"/>
        <w:rPr>
          <w:rFonts w:ascii="Calibri" w:hAnsi="Calibri" w:eastAsia="宋体" w:cs="Calibri"/>
          <w:sz w:val="24"/>
          <w:szCs w:val="24"/>
        </w:rPr>
      </w:pPr>
      <w:r>
        <w:rPr>
          <w:rFonts w:hint="eastAsia" w:ascii="Calibri" w:hAnsi="Calibri" w:eastAsia="宋体" w:cs="Calibri"/>
          <w:sz w:val="24"/>
          <w:szCs w:val="24"/>
          <w:u w:val="single"/>
        </w:rPr>
        <w:t xml:space="preserve">  </w:t>
      </w:r>
      <w:r>
        <w:rPr>
          <w:rFonts w:hint="eastAsia" w:ascii="Calibri" w:hAnsi="Calibri" w:eastAsia="宋体" w:cs="Calibri"/>
          <w:iCs/>
          <w:sz w:val="24"/>
          <w:szCs w:val="24"/>
          <w:u w:val="single"/>
        </w:rPr>
        <w:t>（招标人）</w:t>
      </w:r>
      <w:r>
        <w:rPr>
          <w:rFonts w:hint="eastAsia" w:ascii="Calibri" w:hAnsi="Calibri" w:eastAsia="宋体" w:cs="Calibri"/>
          <w:sz w:val="24"/>
          <w:szCs w:val="24"/>
          <w:u w:val="single"/>
        </w:rPr>
        <w:t xml:space="preserve">   </w:t>
      </w:r>
      <w:r>
        <w:rPr>
          <w:rFonts w:hint="eastAsia" w:ascii="Calibri" w:hAnsi="Calibri" w:eastAsia="宋体" w:cs="Calibri"/>
          <w:sz w:val="24"/>
          <w:szCs w:val="24"/>
        </w:rPr>
        <w:t>：</w:t>
      </w:r>
    </w:p>
    <w:p>
      <w:pPr>
        <w:spacing w:line="440" w:lineRule="exact"/>
        <w:ind w:firstLine="480" w:firstLineChars="200"/>
        <w:rPr>
          <w:rFonts w:ascii="Calibri" w:hAnsi="Calibri" w:eastAsia="宋体" w:cs="Times New Roman"/>
          <w:sz w:val="24"/>
          <w:szCs w:val="24"/>
        </w:rPr>
      </w:pPr>
      <w:r>
        <w:rPr>
          <w:rFonts w:ascii="Calibri" w:hAnsi="Calibri" w:eastAsia="宋体" w:cs="Times New Roman"/>
          <w:sz w:val="24"/>
          <w:szCs w:val="24"/>
        </w:rPr>
        <w:t>1．我方已仔细研究了</w:t>
      </w:r>
      <w:r>
        <w:rPr>
          <w:rFonts w:ascii="Calibri" w:hAnsi="Calibri" w:eastAsia="宋体" w:cs="Times New Roman"/>
          <w:sz w:val="24"/>
          <w:szCs w:val="24"/>
          <w:u w:val="single"/>
        </w:rPr>
        <w:t xml:space="preserve">       </w:t>
      </w:r>
      <w:r>
        <w:rPr>
          <w:rFonts w:hint="eastAsia" w:ascii="Calibri" w:hAnsi="Calibri" w:eastAsia="宋体" w:cs="Times New Roman"/>
          <w:sz w:val="24"/>
          <w:szCs w:val="24"/>
          <w:u w:val="single"/>
        </w:rPr>
        <w:t xml:space="preserve">     </w:t>
      </w:r>
      <w:r>
        <w:rPr>
          <w:rFonts w:ascii="Calibri" w:hAnsi="Calibri" w:eastAsia="宋体" w:cs="Times New Roman"/>
          <w:sz w:val="24"/>
          <w:szCs w:val="24"/>
          <w:u w:val="single"/>
        </w:rPr>
        <w:t xml:space="preserve">   </w:t>
      </w:r>
      <w:r>
        <w:rPr>
          <w:rFonts w:hint="eastAsia" w:ascii="Calibri" w:hAnsi="Calibri" w:eastAsia="宋体" w:cs="Calibri"/>
          <w:kern w:val="0"/>
          <w:sz w:val="24"/>
          <w:szCs w:val="24"/>
        </w:rPr>
        <w:t>（项目名称及标段）招标文件</w:t>
      </w:r>
      <w:r>
        <w:rPr>
          <w:rFonts w:ascii="Calibri" w:hAnsi="Calibri" w:eastAsia="宋体" w:cs="Times New Roman"/>
          <w:sz w:val="24"/>
          <w:szCs w:val="24"/>
        </w:rPr>
        <w:t>的全部内容，</w:t>
      </w:r>
      <w:r>
        <w:rPr>
          <w:rFonts w:hint="eastAsia" w:ascii="宋体" w:hAnsi="TimesNewRomanPSMT" w:eastAsia="宋体" w:cs="宋体"/>
          <w:color w:val="000000"/>
          <w:kern w:val="0"/>
          <w:sz w:val="24"/>
          <w:szCs w:val="24"/>
        </w:rPr>
        <w:t>我方承诺投标报价为：小写</w:t>
      </w:r>
      <w:r>
        <w:rPr>
          <w:rFonts w:hint="eastAsia" w:ascii="宋体" w:hAnsi="TimesNewRomanPSMT" w:eastAsia="宋体" w:cs="宋体"/>
          <w:color w:val="000000"/>
          <w:kern w:val="0"/>
          <w:sz w:val="24"/>
          <w:szCs w:val="24"/>
          <w:u w:val="single"/>
        </w:rPr>
        <w:t xml:space="preserve">          </w:t>
      </w:r>
      <w:r>
        <w:rPr>
          <w:rFonts w:hint="eastAsia" w:ascii="宋体" w:hAnsi="TimesNewRomanPSMT" w:eastAsia="宋体" w:cs="宋体"/>
          <w:color w:val="000000"/>
          <w:kern w:val="0"/>
          <w:sz w:val="24"/>
          <w:szCs w:val="24"/>
        </w:rPr>
        <w:t xml:space="preserve"> (大写:</w:t>
      </w:r>
      <w:r>
        <w:rPr>
          <w:rFonts w:hint="eastAsia" w:ascii="宋体" w:hAnsi="TimesNewRomanPSMT" w:eastAsia="宋体" w:cs="宋体"/>
          <w:color w:val="000000"/>
          <w:kern w:val="0"/>
          <w:sz w:val="24"/>
          <w:szCs w:val="24"/>
          <w:u w:val="single"/>
        </w:rPr>
        <w:t xml:space="preserve">          </w:t>
      </w:r>
      <w:r>
        <w:rPr>
          <w:rFonts w:hint="eastAsia" w:ascii="宋体" w:hAnsi="TimesNewRomanPSMT" w:eastAsia="宋体" w:cs="宋体"/>
          <w:color w:val="000000"/>
          <w:kern w:val="0"/>
          <w:sz w:val="24"/>
          <w:szCs w:val="24"/>
        </w:rPr>
        <w:t>)的投标价格，按招标文件规定的供货及安装期和合同约定，实施和完成各项任务。</w:t>
      </w:r>
    </w:p>
    <w:p>
      <w:pPr>
        <w:spacing w:line="440" w:lineRule="exact"/>
        <w:ind w:firstLine="480" w:firstLineChars="200"/>
        <w:rPr>
          <w:rFonts w:ascii="Calibri" w:hAnsi="Calibri" w:eastAsia="宋体" w:cs="Times New Roman"/>
          <w:sz w:val="24"/>
          <w:szCs w:val="24"/>
        </w:rPr>
      </w:pPr>
      <w:r>
        <w:rPr>
          <w:rFonts w:ascii="Calibri" w:hAnsi="Calibri" w:eastAsia="宋体" w:cs="Times New Roman"/>
          <w:sz w:val="24"/>
          <w:szCs w:val="24"/>
        </w:rPr>
        <w:t>2．我方承诺在</w:t>
      </w:r>
      <w:r>
        <w:rPr>
          <w:rFonts w:hint="eastAsia" w:ascii="Calibri" w:hAnsi="Calibri" w:eastAsia="宋体" w:cs="Times New Roman"/>
          <w:sz w:val="24"/>
          <w:szCs w:val="24"/>
        </w:rPr>
        <w:t>招标文件规定的</w:t>
      </w:r>
      <w:r>
        <w:rPr>
          <w:rFonts w:ascii="Calibri" w:hAnsi="Calibri" w:eastAsia="宋体" w:cs="Times New Roman"/>
          <w:sz w:val="24"/>
          <w:szCs w:val="24"/>
        </w:rPr>
        <w:t>投标有效期内不修改、撤销投标文件</w:t>
      </w:r>
      <w:r>
        <w:rPr>
          <w:rFonts w:hint="eastAsia" w:ascii="Calibri" w:hAnsi="Calibri" w:eastAsia="宋体" w:cs="Times New Roman"/>
          <w:sz w:val="24"/>
          <w:szCs w:val="24"/>
        </w:rPr>
        <w:t>。</w:t>
      </w:r>
    </w:p>
    <w:p>
      <w:pPr>
        <w:spacing w:line="440" w:lineRule="exact"/>
        <w:ind w:firstLine="480" w:firstLineChars="200"/>
        <w:rPr>
          <w:rFonts w:ascii="Calibri" w:hAnsi="Calibri" w:eastAsia="宋体" w:cs="Times New Roman"/>
          <w:sz w:val="24"/>
          <w:szCs w:val="24"/>
        </w:rPr>
      </w:pPr>
      <w:r>
        <w:rPr>
          <w:rFonts w:hint="eastAsia" w:ascii="Calibri" w:hAnsi="Calibri" w:eastAsia="宋体" w:cs="Times New Roman"/>
          <w:sz w:val="24"/>
          <w:szCs w:val="24"/>
        </w:rPr>
        <w:t>3</w:t>
      </w:r>
      <w:r>
        <w:rPr>
          <w:rFonts w:ascii="Calibri" w:hAnsi="Calibri" w:eastAsia="宋体" w:cs="Times New Roman"/>
          <w:sz w:val="24"/>
          <w:szCs w:val="24"/>
        </w:rPr>
        <w:t>．如我方中标：</w:t>
      </w:r>
    </w:p>
    <w:p>
      <w:pPr>
        <w:spacing w:line="440" w:lineRule="exact"/>
        <w:ind w:firstLine="616" w:firstLineChars="257"/>
        <w:rPr>
          <w:rFonts w:ascii="Calibri" w:hAnsi="Calibri" w:eastAsia="宋体" w:cs="Times New Roman"/>
          <w:sz w:val="24"/>
          <w:szCs w:val="24"/>
        </w:rPr>
      </w:pPr>
      <w:r>
        <w:rPr>
          <w:rFonts w:ascii="Calibri" w:hAnsi="Calibri" w:eastAsia="宋体" w:cs="Times New Roman"/>
          <w:sz w:val="24"/>
          <w:szCs w:val="24"/>
        </w:rPr>
        <w:t>（1）我方承诺在收到中标通知书后，在中标通知书规定的期限内与你方签订合同。</w:t>
      </w:r>
    </w:p>
    <w:p>
      <w:pPr>
        <w:spacing w:line="440" w:lineRule="exact"/>
        <w:ind w:firstLine="616" w:firstLineChars="257"/>
        <w:rPr>
          <w:rFonts w:ascii="Calibri" w:hAnsi="Calibri" w:eastAsia="宋体" w:cs="Times New Roman"/>
          <w:sz w:val="24"/>
          <w:szCs w:val="24"/>
        </w:rPr>
      </w:pPr>
      <w:r>
        <w:rPr>
          <w:rFonts w:ascii="Calibri" w:hAnsi="Calibri" w:eastAsia="宋体" w:cs="Times New Roman"/>
          <w:sz w:val="24"/>
          <w:szCs w:val="24"/>
        </w:rPr>
        <w:t>（2）我方承诺按照招标文件规定向你方递交履约保证金。</w:t>
      </w:r>
    </w:p>
    <w:p>
      <w:pPr>
        <w:spacing w:line="440" w:lineRule="exact"/>
        <w:ind w:firstLine="616" w:firstLineChars="257"/>
        <w:rPr>
          <w:rFonts w:ascii="Calibri" w:hAnsi="Calibri" w:eastAsia="宋体" w:cs="Times New Roman"/>
          <w:sz w:val="24"/>
          <w:szCs w:val="24"/>
        </w:rPr>
      </w:pPr>
      <w:r>
        <w:rPr>
          <w:rFonts w:ascii="Calibri" w:hAnsi="Calibri" w:eastAsia="宋体" w:cs="Times New Roman"/>
          <w:sz w:val="24"/>
          <w:szCs w:val="24"/>
        </w:rPr>
        <w:t>（3）我方承诺供货期</w:t>
      </w:r>
      <w:r>
        <w:rPr>
          <w:rFonts w:hint="eastAsia" w:ascii="Calibri" w:hAnsi="Calibri" w:eastAsia="宋体" w:cs="Times New Roman"/>
          <w:sz w:val="24"/>
          <w:szCs w:val="24"/>
          <w:u w:val="single"/>
        </w:rPr>
        <w:t xml:space="preserve">      </w:t>
      </w:r>
      <w:r>
        <w:rPr>
          <w:rFonts w:hint="eastAsia" w:ascii="Calibri" w:hAnsi="Calibri" w:eastAsia="宋体" w:cs="Times New Roman"/>
          <w:sz w:val="24"/>
          <w:szCs w:val="24"/>
        </w:rPr>
        <w:t>日历天 。</w:t>
      </w:r>
    </w:p>
    <w:p>
      <w:pPr>
        <w:spacing w:after="120"/>
        <w:ind w:firstLine="720" w:firstLineChars="300"/>
        <w:rPr>
          <w:rFonts w:ascii="Times New Roman" w:hAnsi="Times New Roman" w:eastAsia="宋体" w:cs="Times New Roman"/>
          <w:szCs w:val="20"/>
        </w:rPr>
      </w:pPr>
      <w:r>
        <w:rPr>
          <w:rFonts w:ascii="Calibri" w:hAnsi="Calibri" w:eastAsia="宋体" w:cs="Times New Roman"/>
          <w:sz w:val="24"/>
          <w:szCs w:val="20"/>
        </w:rPr>
        <w:t>（</w:t>
      </w:r>
      <w:r>
        <w:rPr>
          <w:rFonts w:hint="eastAsia" w:ascii="Calibri" w:hAnsi="Calibri" w:eastAsia="宋体" w:cs="Times New Roman"/>
          <w:sz w:val="24"/>
          <w:szCs w:val="20"/>
        </w:rPr>
        <w:t>4</w:t>
      </w:r>
      <w:r>
        <w:rPr>
          <w:rFonts w:ascii="Calibri" w:hAnsi="Calibri" w:eastAsia="宋体" w:cs="Times New Roman"/>
          <w:sz w:val="24"/>
          <w:szCs w:val="20"/>
        </w:rPr>
        <w:t>）</w:t>
      </w:r>
      <w:r>
        <w:rPr>
          <w:rFonts w:hint="eastAsia" w:ascii="Calibri" w:hAnsi="Calibri" w:eastAsia="宋体" w:cs="Times New Roman"/>
          <w:sz w:val="24"/>
          <w:szCs w:val="20"/>
        </w:rPr>
        <w:t>我方将严格履行本投标文件中的全部承诺和责任，并遵守招标文件中对投标人的所有规定。</w:t>
      </w:r>
    </w:p>
    <w:p>
      <w:pPr>
        <w:spacing w:line="440" w:lineRule="exact"/>
        <w:ind w:firstLine="480" w:firstLineChars="200"/>
        <w:rPr>
          <w:rFonts w:ascii="Calibri" w:hAnsi="Calibri" w:eastAsia="宋体" w:cs="Times New Roman"/>
          <w:sz w:val="24"/>
          <w:szCs w:val="24"/>
        </w:rPr>
      </w:pPr>
      <w:r>
        <w:rPr>
          <w:rFonts w:hint="eastAsia" w:ascii="Calibri" w:hAnsi="Calibri" w:eastAsia="宋体" w:cs="Times New Roman"/>
          <w:sz w:val="24"/>
          <w:szCs w:val="24"/>
        </w:rPr>
        <w:t>4</w:t>
      </w:r>
      <w:r>
        <w:rPr>
          <w:rFonts w:ascii="Calibri" w:hAnsi="Calibri" w:eastAsia="宋体" w:cs="Times New Roman"/>
          <w:sz w:val="24"/>
          <w:szCs w:val="24"/>
        </w:rPr>
        <w:t>．</w:t>
      </w:r>
      <w:r>
        <w:rPr>
          <w:rFonts w:hint="eastAsia" w:ascii="Calibri" w:hAnsi="Calibri" w:eastAsia="宋体" w:cs="Times New Roman"/>
          <w:sz w:val="24"/>
          <w:szCs w:val="24"/>
        </w:rPr>
        <w:t>我方在此声明，所递交的投标文件及有关资料内容完整、真实和准确，且不存在第一章“投标人须知”第1.4.3项规定的任何一种情形。</w:t>
      </w:r>
    </w:p>
    <w:p>
      <w:pPr>
        <w:spacing w:line="360" w:lineRule="auto"/>
        <w:ind w:firstLine="420" w:firstLineChars="200"/>
        <w:rPr>
          <w:rFonts w:ascii="Calibri" w:hAnsi="Calibri" w:eastAsia="宋体" w:cs="Calibri"/>
          <w:szCs w:val="21"/>
        </w:rPr>
      </w:pPr>
    </w:p>
    <w:p>
      <w:pPr>
        <w:spacing w:line="360" w:lineRule="auto"/>
        <w:ind w:firstLine="555"/>
        <w:rPr>
          <w:rFonts w:ascii="Calibri" w:hAnsi="Calibri" w:eastAsia="宋体" w:cs="Calibri"/>
          <w:b/>
          <w:szCs w:val="21"/>
        </w:rPr>
      </w:pPr>
    </w:p>
    <w:p>
      <w:pPr>
        <w:tabs>
          <w:tab w:val="left" w:pos="5665"/>
          <w:tab w:val="right" w:pos="8360"/>
        </w:tabs>
        <w:ind w:right="42" w:firstLine="1560" w:firstLineChars="650"/>
        <w:rPr>
          <w:rFonts w:ascii="Calibri" w:hAnsi="Calibri" w:eastAsia="宋体" w:cs="Calibri"/>
          <w:sz w:val="24"/>
          <w:szCs w:val="20"/>
        </w:rPr>
      </w:pPr>
    </w:p>
    <w:p>
      <w:pPr>
        <w:tabs>
          <w:tab w:val="left" w:pos="5665"/>
          <w:tab w:val="right" w:pos="8360"/>
        </w:tabs>
        <w:ind w:right="42" w:firstLine="1560" w:firstLineChars="650"/>
        <w:rPr>
          <w:rFonts w:ascii="Calibri" w:hAnsi="Calibri" w:eastAsia="宋体" w:cs="Calibri"/>
          <w:sz w:val="24"/>
          <w:szCs w:val="20"/>
          <w:u w:val="single"/>
        </w:rPr>
      </w:pPr>
      <w:r>
        <w:rPr>
          <w:rFonts w:hint="eastAsia" w:ascii="Calibri" w:hAnsi="Calibri" w:eastAsia="宋体" w:cs="Calibri"/>
          <w:sz w:val="24"/>
          <w:szCs w:val="20"/>
        </w:rPr>
        <w:t>投标人(公章)：</w:t>
      </w:r>
      <w:r>
        <w:rPr>
          <w:rFonts w:hint="eastAsia" w:ascii="Calibri" w:hAnsi="Calibri" w:eastAsia="宋体" w:cs="Calibri"/>
          <w:sz w:val="24"/>
          <w:szCs w:val="20"/>
          <w:u w:val="single"/>
        </w:rPr>
        <w:t xml:space="preserve">                                  </w:t>
      </w:r>
    </w:p>
    <w:p>
      <w:pPr>
        <w:tabs>
          <w:tab w:val="left" w:pos="5665"/>
          <w:tab w:val="right" w:pos="8360"/>
        </w:tabs>
        <w:ind w:right="42" w:firstLine="1560" w:firstLineChars="650"/>
        <w:rPr>
          <w:rFonts w:ascii="Calibri" w:hAnsi="Calibri" w:eastAsia="宋体" w:cs="Calibri"/>
          <w:sz w:val="24"/>
          <w:szCs w:val="20"/>
          <w:u w:val="single"/>
        </w:rPr>
      </w:pPr>
    </w:p>
    <w:p>
      <w:pPr>
        <w:tabs>
          <w:tab w:val="left" w:pos="5665"/>
          <w:tab w:val="right" w:pos="8360"/>
        </w:tabs>
        <w:ind w:right="42" w:firstLine="1560" w:firstLineChars="650"/>
        <w:rPr>
          <w:rFonts w:ascii="Calibri" w:hAnsi="Calibri" w:eastAsia="宋体" w:cs="Calibri"/>
          <w:sz w:val="24"/>
          <w:szCs w:val="20"/>
          <w:u w:val="single"/>
        </w:rPr>
      </w:pPr>
    </w:p>
    <w:p>
      <w:pPr>
        <w:tabs>
          <w:tab w:val="left" w:pos="5665"/>
          <w:tab w:val="right" w:pos="8360"/>
        </w:tabs>
        <w:ind w:right="42" w:firstLine="1560" w:firstLineChars="650"/>
        <w:rPr>
          <w:rFonts w:ascii="Calibri" w:hAnsi="Calibri" w:eastAsia="宋体" w:cs="Calibri"/>
          <w:sz w:val="24"/>
          <w:szCs w:val="20"/>
          <w:u w:val="single"/>
        </w:rPr>
      </w:pPr>
      <w:r>
        <w:rPr>
          <w:rFonts w:hint="eastAsia" w:ascii="Calibri" w:hAnsi="Calibri" w:eastAsia="宋体" w:cs="Calibri"/>
          <w:sz w:val="24"/>
          <w:szCs w:val="20"/>
        </w:rPr>
        <w:t>法定代表人或授权委托人（签字或盖章）：</w:t>
      </w:r>
      <w:r>
        <w:rPr>
          <w:rFonts w:hint="eastAsia" w:ascii="Calibri" w:hAnsi="Calibri" w:eastAsia="宋体" w:cs="Calibri"/>
          <w:sz w:val="24"/>
          <w:szCs w:val="20"/>
          <w:u w:val="single"/>
        </w:rPr>
        <w:t xml:space="preserve">             </w:t>
      </w:r>
    </w:p>
    <w:p>
      <w:pPr>
        <w:tabs>
          <w:tab w:val="left" w:pos="5665"/>
          <w:tab w:val="right" w:pos="8360"/>
        </w:tabs>
        <w:ind w:right="42" w:firstLine="1560" w:firstLineChars="650"/>
        <w:rPr>
          <w:rFonts w:ascii="Calibri" w:hAnsi="Calibri" w:eastAsia="宋体" w:cs="Calibri"/>
          <w:sz w:val="24"/>
          <w:szCs w:val="20"/>
          <w:u w:val="single"/>
        </w:rPr>
      </w:pPr>
    </w:p>
    <w:p>
      <w:pPr>
        <w:tabs>
          <w:tab w:val="left" w:pos="5665"/>
          <w:tab w:val="right" w:pos="8360"/>
        </w:tabs>
        <w:ind w:right="42" w:firstLine="1560" w:firstLineChars="650"/>
        <w:rPr>
          <w:rFonts w:ascii="Calibri" w:hAnsi="Calibri" w:eastAsia="宋体" w:cs="Calibri"/>
          <w:sz w:val="24"/>
          <w:szCs w:val="20"/>
          <w:u w:val="single"/>
        </w:rPr>
      </w:pPr>
    </w:p>
    <w:p>
      <w:pPr>
        <w:tabs>
          <w:tab w:val="left" w:pos="5665"/>
          <w:tab w:val="right" w:pos="8360"/>
        </w:tabs>
        <w:ind w:right="42" w:firstLine="1560" w:firstLineChars="650"/>
        <w:rPr>
          <w:rFonts w:ascii="Calibri" w:hAnsi="Calibri" w:eastAsia="宋体" w:cs="Calibri"/>
          <w:sz w:val="24"/>
          <w:szCs w:val="20"/>
          <w:u w:val="single"/>
        </w:rPr>
      </w:pPr>
      <w:r>
        <w:rPr>
          <w:rFonts w:hint="eastAsia" w:ascii="Calibri" w:hAnsi="Calibri" w:eastAsia="宋体" w:cs="Calibri"/>
          <w:sz w:val="24"/>
          <w:szCs w:val="20"/>
        </w:rPr>
        <w:t xml:space="preserve">日 期：   年   月   日                                         </w:t>
      </w:r>
      <w:r>
        <w:rPr>
          <w:rFonts w:hint="eastAsia" w:ascii="Calibri" w:hAnsi="Calibri" w:eastAsia="宋体" w:cs="Calibri"/>
          <w:sz w:val="24"/>
          <w:szCs w:val="20"/>
          <w:u w:val="single"/>
        </w:rPr>
        <w:t xml:space="preserve"> </w:t>
      </w:r>
    </w:p>
    <w:p>
      <w:pPr>
        <w:tabs>
          <w:tab w:val="left" w:pos="5665"/>
          <w:tab w:val="right" w:pos="8360"/>
        </w:tabs>
        <w:spacing w:line="360" w:lineRule="auto"/>
        <w:ind w:right="42" w:firstLine="1365" w:firstLineChars="650"/>
        <w:jc w:val="left"/>
        <w:rPr>
          <w:rFonts w:ascii="Calibri" w:hAnsi="Calibri" w:eastAsia="宋体" w:cs="Calibri"/>
          <w:szCs w:val="21"/>
          <w:u w:val="single"/>
        </w:rPr>
      </w:pPr>
    </w:p>
    <w:p>
      <w:pPr>
        <w:spacing w:line="360" w:lineRule="auto"/>
        <w:rPr>
          <w:rFonts w:ascii="Times New Roman" w:hAnsi="Times New Roman" w:eastAsia="宋体" w:cs="Times New Roman"/>
          <w:szCs w:val="20"/>
        </w:rPr>
        <w:sectPr>
          <w:pgSz w:w="11906" w:h="16838"/>
          <w:pgMar w:top="1418" w:right="1021" w:bottom="1134" w:left="1701" w:header="851" w:footer="624" w:gutter="0"/>
          <w:cols w:space="720" w:num="1"/>
          <w:docGrid w:linePitch="312" w:charSpace="0"/>
        </w:sectPr>
      </w:pPr>
    </w:p>
    <w:p>
      <w:pPr>
        <w:spacing w:line="360" w:lineRule="auto"/>
        <w:rPr>
          <w:rFonts w:ascii="宋体" w:hAnsi="宋体" w:eastAsia="宋体" w:cs="Times New Roman"/>
          <w:b/>
          <w:color w:val="000000"/>
          <w:sz w:val="30"/>
          <w:szCs w:val="30"/>
        </w:rPr>
      </w:pPr>
      <w:r>
        <w:rPr>
          <w:rFonts w:hint="eastAsia" w:ascii="宋体" w:hAnsi="宋体" w:eastAsia="宋体" w:cs="Times New Roman"/>
          <w:b/>
          <w:color w:val="000000"/>
          <w:sz w:val="30"/>
          <w:szCs w:val="30"/>
        </w:rPr>
        <w:t>2、投标报价明细表</w:t>
      </w:r>
    </w:p>
    <w:tbl>
      <w:tblPr>
        <w:tblStyle w:val="23"/>
        <w:tblW w:w="11788" w:type="dxa"/>
        <w:jc w:val="center"/>
        <w:tblLayout w:type="fixed"/>
        <w:tblCellMar>
          <w:top w:w="0" w:type="dxa"/>
          <w:left w:w="108" w:type="dxa"/>
          <w:bottom w:w="0" w:type="dxa"/>
          <w:right w:w="108" w:type="dxa"/>
        </w:tblCellMar>
      </w:tblPr>
      <w:tblGrid>
        <w:gridCol w:w="441"/>
        <w:gridCol w:w="627"/>
        <w:gridCol w:w="1164"/>
        <w:gridCol w:w="1129"/>
        <w:gridCol w:w="767"/>
        <w:gridCol w:w="767"/>
        <w:gridCol w:w="763"/>
        <w:gridCol w:w="687"/>
        <w:gridCol w:w="794"/>
        <w:gridCol w:w="962"/>
        <w:gridCol w:w="702"/>
        <w:gridCol w:w="1196"/>
        <w:gridCol w:w="938"/>
        <w:gridCol w:w="851"/>
      </w:tblGrid>
      <w:tr>
        <w:tblPrEx>
          <w:tblCellMar>
            <w:top w:w="0" w:type="dxa"/>
            <w:left w:w="108" w:type="dxa"/>
            <w:bottom w:w="0" w:type="dxa"/>
            <w:right w:w="108" w:type="dxa"/>
          </w:tblCellMar>
        </w:tblPrEx>
        <w:trPr>
          <w:trHeight w:val="727" w:hRule="atLeast"/>
          <w:jc w:val="center"/>
        </w:trPr>
        <w:tc>
          <w:tcPr>
            <w:tcW w:w="4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序号</w:t>
            </w:r>
          </w:p>
        </w:tc>
        <w:tc>
          <w:tcPr>
            <w:tcW w:w="627"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w:t>
            </w:r>
          </w:p>
        </w:tc>
        <w:tc>
          <w:tcPr>
            <w:tcW w:w="1164"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类型</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规格型号</w:t>
            </w:r>
          </w:p>
        </w:tc>
        <w:tc>
          <w:tcPr>
            <w:tcW w:w="767" w:type="dxa"/>
            <w:tcBorders>
              <w:top w:val="single" w:color="000000" w:sz="4" w:space="0"/>
              <w:left w:val="nil"/>
              <w:bottom w:val="nil"/>
              <w:right w:val="single" w:color="auto" w:sz="4" w:space="0"/>
            </w:tcBorders>
          </w:tcPr>
          <w:p>
            <w:pPr>
              <w:widowControl/>
              <w:jc w:val="center"/>
              <w:textAlignment w:val="center"/>
              <w:rPr>
                <w:rFonts w:ascii="仿宋" w:hAnsi="仿宋" w:eastAsia="仿宋" w:cs="仿宋"/>
                <w:color w:val="000000"/>
                <w:kern w:val="0"/>
                <w:sz w:val="20"/>
                <w:szCs w:val="20"/>
                <w:lang w:bidi="ar"/>
              </w:rPr>
            </w:pPr>
          </w:p>
          <w:p>
            <w:pPr>
              <w:widowControl/>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品牌</w:t>
            </w:r>
          </w:p>
        </w:tc>
        <w:tc>
          <w:tcPr>
            <w:tcW w:w="767" w:type="dxa"/>
            <w:tcBorders>
              <w:top w:val="single" w:color="000000" w:sz="4" w:space="0"/>
              <w:left w:val="single" w:color="auto" w:sz="4" w:space="0"/>
              <w:bottom w:val="nil"/>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洞口尺寸</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宽（m）</w:t>
            </w:r>
          </w:p>
        </w:tc>
        <w:tc>
          <w:tcPr>
            <w:tcW w:w="763" w:type="dxa"/>
            <w:tcBorders>
              <w:top w:val="single" w:color="000000" w:sz="4" w:space="0"/>
              <w:left w:val="nil"/>
              <w:bottom w:val="nil"/>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洞口尺寸</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高（m）</w:t>
            </w:r>
          </w:p>
        </w:tc>
        <w:tc>
          <w:tcPr>
            <w:tcW w:w="6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开启</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方式</w:t>
            </w:r>
          </w:p>
        </w:tc>
        <w:tc>
          <w:tcPr>
            <w:tcW w:w="794"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小计</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（樘）</w:t>
            </w:r>
          </w:p>
        </w:tc>
        <w:tc>
          <w:tcPr>
            <w:tcW w:w="962"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面积（㎡）</w:t>
            </w:r>
          </w:p>
        </w:tc>
        <w:tc>
          <w:tcPr>
            <w:tcW w:w="70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材质</w:t>
            </w:r>
          </w:p>
        </w:tc>
        <w:tc>
          <w:tcPr>
            <w:tcW w:w="119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投标单</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价（元/㎡）</w:t>
            </w:r>
          </w:p>
        </w:tc>
        <w:tc>
          <w:tcPr>
            <w:tcW w:w="9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小计</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（元）</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备注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2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1#楼</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甲级防火门</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JFM1222</w:t>
            </w:r>
          </w:p>
        </w:tc>
        <w:tc>
          <w:tcPr>
            <w:tcW w:w="7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仿宋"/>
                <w:color w:val="000000"/>
                <w:kern w:val="0"/>
                <w:sz w:val="20"/>
                <w:szCs w:val="20"/>
                <w:lang w:bidi="ar"/>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1.2</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2.2</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5.28</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甲级防火门</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JFM1022n</w:t>
            </w:r>
          </w:p>
        </w:tc>
        <w:tc>
          <w:tcPr>
            <w:tcW w:w="7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仿宋"/>
                <w:color w:val="000000"/>
                <w:kern w:val="0"/>
                <w:sz w:val="20"/>
                <w:szCs w:val="20"/>
                <w:lang w:bidi="ar"/>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2.2</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4.4</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甲级防火门</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JFM1022s</w:t>
            </w:r>
          </w:p>
        </w:tc>
        <w:tc>
          <w:tcPr>
            <w:tcW w:w="7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仿宋"/>
                <w:color w:val="000000"/>
                <w:kern w:val="0"/>
                <w:sz w:val="20"/>
                <w:szCs w:val="20"/>
                <w:lang w:bidi="ar"/>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2.2</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4.4</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甲级防火门</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JFM0922n</w:t>
            </w:r>
          </w:p>
        </w:tc>
        <w:tc>
          <w:tcPr>
            <w:tcW w:w="7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仿宋"/>
                <w:color w:val="000000"/>
                <w:kern w:val="0"/>
                <w:sz w:val="20"/>
                <w:szCs w:val="20"/>
                <w:lang w:bidi="ar"/>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0.9</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2.2</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1.98</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甲级防火门</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JFM0922s</w:t>
            </w:r>
          </w:p>
        </w:tc>
        <w:tc>
          <w:tcPr>
            <w:tcW w:w="7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仿宋"/>
                <w:color w:val="000000"/>
                <w:kern w:val="0"/>
                <w:sz w:val="20"/>
                <w:szCs w:val="20"/>
                <w:lang w:bidi="ar"/>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0.9</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2.2</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1.98</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乙级防火门</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YFM1123n</w:t>
            </w:r>
          </w:p>
        </w:tc>
        <w:tc>
          <w:tcPr>
            <w:tcW w:w="7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仿宋"/>
                <w:color w:val="000000"/>
                <w:kern w:val="0"/>
                <w:sz w:val="20"/>
                <w:szCs w:val="20"/>
                <w:lang w:bidi="ar"/>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1.1</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2.3</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16</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40.48</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乙级防火门</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YFM1123s</w:t>
            </w:r>
          </w:p>
        </w:tc>
        <w:tc>
          <w:tcPr>
            <w:tcW w:w="7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仿宋"/>
                <w:color w:val="000000"/>
                <w:kern w:val="0"/>
                <w:sz w:val="20"/>
                <w:szCs w:val="20"/>
                <w:lang w:bidi="ar"/>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1.1</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2.3</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16</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40.48</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乙级防火门</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YFM1022n</w:t>
            </w:r>
          </w:p>
        </w:tc>
        <w:tc>
          <w:tcPr>
            <w:tcW w:w="7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仿宋"/>
                <w:color w:val="000000"/>
                <w:kern w:val="0"/>
                <w:sz w:val="20"/>
                <w:szCs w:val="20"/>
                <w:lang w:bidi="ar"/>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2.2</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17</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37.4</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9</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乙级防火门</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YFM1022s</w:t>
            </w:r>
          </w:p>
        </w:tc>
        <w:tc>
          <w:tcPr>
            <w:tcW w:w="7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仿宋"/>
                <w:color w:val="000000"/>
                <w:kern w:val="0"/>
                <w:sz w:val="20"/>
                <w:szCs w:val="20"/>
                <w:lang w:bidi="ar"/>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2.2</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15</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33</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10</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乙级防火窗</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YFC0912</w:t>
            </w:r>
          </w:p>
        </w:tc>
        <w:tc>
          <w:tcPr>
            <w:tcW w:w="7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仿宋"/>
                <w:color w:val="000000"/>
                <w:kern w:val="0"/>
                <w:sz w:val="20"/>
                <w:szCs w:val="20"/>
                <w:lang w:bidi="ar"/>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0.9</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1.25</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固定式</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2.25</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楼栋防火窗</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11</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丙级防火门</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BFM0821n</w:t>
            </w:r>
          </w:p>
        </w:tc>
        <w:tc>
          <w:tcPr>
            <w:tcW w:w="7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仿宋"/>
                <w:color w:val="000000"/>
                <w:kern w:val="0"/>
                <w:sz w:val="20"/>
                <w:szCs w:val="20"/>
                <w:lang w:bidi="ar"/>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0.8</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2.1</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1.68</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12</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丙级防火门</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BFM0821s</w:t>
            </w:r>
          </w:p>
        </w:tc>
        <w:tc>
          <w:tcPr>
            <w:tcW w:w="7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仿宋"/>
                <w:color w:val="000000"/>
                <w:kern w:val="0"/>
                <w:sz w:val="20"/>
                <w:szCs w:val="20"/>
                <w:lang w:bidi="ar"/>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0.8</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2.1</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1.68</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13</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丙级防火门</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BFM0621s</w:t>
            </w:r>
          </w:p>
        </w:tc>
        <w:tc>
          <w:tcPr>
            <w:tcW w:w="7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仿宋"/>
                <w:color w:val="000000"/>
                <w:kern w:val="0"/>
                <w:sz w:val="20"/>
                <w:szCs w:val="20"/>
                <w:lang w:bidi="ar"/>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0.6</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2.1</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14</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17.64</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14</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丙级防火门</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BFM0621n</w:t>
            </w:r>
          </w:p>
        </w:tc>
        <w:tc>
          <w:tcPr>
            <w:tcW w:w="7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仿宋"/>
                <w:color w:val="000000"/>
                <w:kern w:val="0"/>
                <w:sz w:val="20"/>
                <w:szCs w:val="20"/>
                <w:lang w:bidi="ar"/>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0.6</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2.1</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14</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17.64</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15</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丙级防火门</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BFM0721s</w:t>
            </w:r>
          </w:p>
        </w:tc>
        <w:tc>
          <w:tcPr>
            <w:tcW w:w="7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仿宋"/>
                <w:color w:val="000000"/>
                <w:kern w:val="0"/>
                <w:sz w:val="20"/>
                <w:szCs w:val="20"/>
                <w:lang w:bidi="ar"/>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0.7</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2.1</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11.76</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16</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丙级防火门</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BFM0721n</w:t>
            </w:r>
          </w:p>
        </w:tc>
        <w:tc>
          <w:tcPr>
            <w:tcW w:w="7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仿宋"/>
                <w:color w:val="000000"/>
                <w:kern w:val="0"/>
                <w:sz w:val="20"/>
                <w:szCs w:val="20"/>
                <w:lang w:bidi="ar"/>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0.7</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2.1</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11.76</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17</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丙级防火门</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BFM0609s</w:t>
            </w:r>
          </w:p>
        </w:tc>
        <w:tc>
          <w:tcPr>
            <w:tcW w:w="7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仿宋"/>
                <w:color w:val="000000"/>
                <w:kern w:val="0"/>
                <w:sz w:val="20"/>
                <w:szCs w:val="20"/>
                <w:lang w:bidi="ar"/>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0.6</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0.9</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1.62</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18</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丙级防火门</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BFM0609n</w:t>
            </w:r>
          </w:p>
        </w:tc>
        <w:tc>
          <w:tcPr>
            <w:tcW w:w="7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仿宋"/>
                <w:color w:val="000000"/>
                <w:kern w:val="0"/>
                <w:sz w:val="20"/>
                <w:szCs w:val="20"/>
                <w:lang w:bidi="ar"/>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0.6</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0.9</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1.62</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26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0"/>
                <w:szCs w:val="20"/>
              </w:rPr>
            </w:pPr>
            <w:r>
              <w:rPr>
                <w:rFonts w:hint="eastAsia" w:ascii="仿宋" w:hAnsi="仿宋" w:eastAsia="仿宋" w:cs="仿宋"/>
                <w:color w:val="000000"/>
                <w:sz w:val="20"/>
                <w:szCs w:val="20"/>
              </w:rPr>
              <w:t>19</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5277" w:type="dxa"/>
            <w:gridSpan w:val="6"/>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小计</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b/>
                <w:bCs/>
                <w:color w:val="000000"/>
                <w:sz w:val="20"/>
                <w:szCs w:val="20"/>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237.05</w:t>
            </w:r>
          </w:p>
        </w:tc>
        <w:tc>
          <w:tcPr>
            <w:tcW w:w="70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b/>
                <w:bCs/>
                <w:color w:val="000000"/>
                <w:sz w:val="20"/>
                <w:szCs w:val="20"/>
              </w:rPr>
            </w:pPr>
          </w:p>
        </w:tc>
        <w:tc>
          <w:tcPr>
            <w:tcW w:w="119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2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2#楼</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甲级防火门</w:t>
            </w:r>
          </w:p>
        </w:tc>
        <w:tc>
          <w:tcPr>
            <w:tcW w:w="11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JFM1022n</w:t>
            </w:r>
          </w:p>
        </w:tc>
        <w:tc>
          <w:tcPr>
            <w:tcW w:w="7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仿宋"/>
                <w:color w:val="000000"/>
                <w:kern w:val="0"/>
                <w:sz w:val="20"/>
                <w:szCs w:val="20"/>
                <w:lang w:bidi="ar"/>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2.2</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4.4</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甲级防火门</w:t>
            </w:r>
          </w:p>
        </w:tc>
        <w:tc>
          <w:tcPr>
            <w:tcW w:w="11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JFM1022s</w:t>
            </w:r>
          </w:p>
        </w:tc>
        <w:tc>
          <w:tcPr>
            <w:tcW w:w="7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仿宋"/>
                <w:color w:val="000000"/>
                <w:kern w:val="0"/>
                <w:sz w:val="20"/>
                <w:szCs w:val="20"/>
                <w:lang w:bidi="ar"/>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2.2</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4.4</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甲级防火门</w:t>
            </w:r>
          </w:p>
        </w:tc>
        <w:tc>
          <w:tcPr>
            <w:tcW w:w="11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JFM1522</w:t>
            </w:r>
          </w:p>
        </w:tc>
        <w:tc>
          <w:tcPr>
            <w:tcW w:w="7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仿宋"/>
                <w:color w:val="000000"/>
                <w:kern w:val="0"/>
                <w:sz w:val="20"/>
                <w:szCs w:val="20"/>
                <w:lang w:bidi="ar"/>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1.5</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2.2</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3.3</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甲级防火门</w:t>
            </w:r>
          </w:p>
        </w:tc>
        <w:tc>
          <w:tcPr>
            <w:tcW w:w="11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JFM0922n</w:t>
            </w:r>
          </w:p>
        </w:tc>
        <w:tc>
          <w:tcPr>
            <w:tcW w:w="7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仿宋"/>
                <w:color w:val="000000"/>
                <w:kern w:val="0"/>
                <w:sz w:val="20"/>
                <w:szCs w:val="20"/>
                <w:lang w:bidi="ar"/>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0.9</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2.2</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1.98</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甲级防火门</w:t>
            </w:r>
          </w:p>
        </w:tc>
        <w:tc>
          <w:tcPr>
            <w:tcW w:w="11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JFM0922s</w:t>
            </w:r>
          </w:p>
        </w:tc>
        <w:tc>
          <w:tcPr>
            <w:tcW w:w="7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仿宋"/>
                <w:color w:val="000000"/>
                <w:kern w:val="0"/>
                <w:sz w:val="20"/>
                <w:szCs w:val="20"/>
                <w:lang w:bidi="ar"/>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0.9</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2.2</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1.98</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乙级防火门</w:t>
            </w:r>
          </w:p>
        </w:tc>
        <w:tc>
          <w:tcPr>
            <w:tcW w:w="11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YFM1123n</w:t>
            </w:r>
          </w:p>
        </w:tc>
        <w:tc>
          <w:tcPr>
            <w:tcW w:w="7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仿宋"/>
                <w:color w:val="000000"/>
                <w:kern w:val="0"/>
                <w:sz w:val="20"/>
                <w:szCs w:val="20"/>
                <w:lang w:bidi="ar"/>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1.1</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2.3</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16</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40.48</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乙级防火门</w:t>
            </w:r>
          </w:p>
        </w:tc>
        <w:tc>
          <w:tcPr>
            <w:tcW w:w="11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YFM1123s</w:t>
            </w:r>
          </w:p>
        </w:tc>
        <w:tc>
          <w:tcPr>
            <w:tcW w:w="7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仿宋"/>
                <w:color w:val="000000"/>
                <w:kern w:val="0"/>
                <w:sz w:val="20"/>
                <w:szCs w:val="20"/>
                <w:lang w:bidi="ar"/>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1.1</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2.3</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16</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40.48</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乙级防火门</w:t>
            </w:r>
          </w:p>
        </w:tc>
        <w:tc>
          <w:tcPr>
            <w:tcW w:w="11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YFM1022n</w:t>
            </w:r>
          </w:p>
        </w:tc>
        <w:tc>
          <w:tcPr>
            <w:tcW w:w="7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仿宋"/>
                <w:color w:val="000000"/>
                <w:kern w:val="0"/>
                <w:sz w:val="20"/>
                <w:szCs w:val="20"/>
                <w:lang w:bidi="ar"/>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2.2</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16</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35.2</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9</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乙级防火门</w:t>
            </w:r>
          </w:p>
        </w:tc>
        <w:tc>
          <w:tcPr>
            <w:tcW w:w="11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YFM1022s</w:t>
            </w:r>
          </w:p>
        </w:tc>
        <w:tc>
          <w:tcPr>
            <w:tcW w:w="7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仿宋"/>
                <w:color w:val="000000"/>
                <w:kern w:val="0"/>
                <w:sz w:val="20"/>
                <w:szCs w:val="20"/>
                <w:lang w:bidi="ar"/>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2.2</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16</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35.2</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丙级防火门</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BFM0821n</w:t>
            </w:r>
          </w:p>
        </w:tc>
        <w:tc>
          <w:tcPr>
            <w:tcW w:w="7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仿宋"/>
                <w:color w:val="000000"/>
                <w:kern w:val="0"/>
                <w:sz w:val="20"/>
                <w:szCs w:val="20"/>
                <w:lang w:bidi="ar"/>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0.8</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2.1</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1.68</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11</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丙级防火门</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BFM0821s</w:t>
            </w:r>
          </w:p>
        </w:tc>
        <w:tc>
          <w:tcPr>
            <w:tcW w:w="7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仿宋"/>
                <w:color w:val="000000"/>
                <w:kern w:val="0"/>
                <w:sz w:val="20"/>
                <w:szCs w:val="20"/>
                <w:lang w:bidi="ar"/>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0.8</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2.1</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1.68</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12</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丙级防火门</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BFM0621s</w:t>
            </w:r>
          </w:p>
        </w:tc>
        <w:tc>
          <w:tcPr>
            <w:tcW w:w="7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仿宋"/>
                <w:color w:val="000000"/>
                <w:kern w:val="0"/>
                <w:sz w:val="20"/>
                <w:szCs w:val="20"/>
                <w:lang w:bidi="ar"/>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0.6</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2.1</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14</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17.64</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13</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丙级防火门</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BFM0621n</w:t>
            </w:r>
          </w:p>
        </w:tc>
        <w:tc>
          <w:tcPr>
            <w:tcW w:w="7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仿宋"/>
                <w:color w:val="000000"/>
                <w:kern w:val="0"/>
                <w:sz w:val="20"/>
                <w:szCs w:val="20"/>
                <w:lang w:bidi="ar"/>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0.6</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2.1</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14</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17.64</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14</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丙级防火门</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BFM0721s</w:t>
            </w:r>
          </w:p>
        </w:tc>
        <w:tc>
          <w:tcPr>
            <w:tcW w:w="7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仿宋"/>
                <w:color w:val="000000"/>
                <w:kern w:val="0"/>
                <w:sz w:val="20"/>
                <w:szCs w:val="20"/>
                <w:lang w:bidi="ar"/>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0.7</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2.1</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11.76</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15</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丙级防火门</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BFM0721n</w:t>
            </w:r>
          </w:p>
        </w:tc>
        <w:tc>
          <w:tcPr>
            <w:tcW w:w="7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仿宋"/>
                <w:color w:val="000000"/>
                <w:kern w:val="0"/>
                <w:sz w:val="20"/>
                <w:szCs w:val="20"/>
                <w:lang w:bidi="ar"/>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0.7</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2.1</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11.76</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16</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丙级防火门</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BFM0609s</w:t>
            </w:r>
          </w:p>
        </w:tc>
        <w:tc>
          <w:tcPr>
            <w:tcW w:w="7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仿宋"/>
                <w:color w:val="000000"/>
                <w:kern w:val="0"/>
                <w:sz w:val="20"/>
                <w:szCs w:val="20"/>
                <w:lang w:bidi="ar"/>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0.6</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0.9</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1.62</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17</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丙级防火门</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BFM0609n</w:t>
            </w:r>
          </w:p>
        </w:tc>
        <w:tc>
          <w:tcPr>
            <w:tcW w:w="7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仿宋"/>
                <w:color w:val="000000"/>
                <w:kern w:val="0"/>
                <w:sz w:val="20"/>
                <w:szCs w:val="20"/>
                <w:lang w:bidi="ar"/>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0.6</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0.9</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1.62</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26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0"/>
                <w:szCs w:val="20"/>
              </w:rPr>
            </w:pPr>
            <w:r>
              <w:rPr>
                <w:rFonts w:hint="eastAsia" w:ascii="仿宋" w:hAnsi="仿宋" w:eastAsia="仿宋" w:cs="仿宋"/>
                <w:color w:val="000000"/>
                <w:sz w:val="20"/>
                <w:szCs w:val="20"/>
              </w:rPr>
              <w:t>18</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5277"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小计</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b/>
                <w:bCs/>
                <w:color w:val="000000"/>
                <w:sz w:val="20"/>
                <w:szCs w:val="20"/>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232.82</w:t>
            </w:r>
          </w:p>
        </w:tc>
        <w:tc>
          <w:tcPr>
            <w:tcW w:w="70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b/>
                <w:bCs/>
                <w:color w:val="000000"/>
                <w:sz w:val="20"/>
                <w:szCs w:val="20"/>
              </w:rPr>
            </w:pPr>
          </w:p>
        </w:tc>
        <w:tc>
          <w:tcPr>
            <w:tcW w:w="119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r>
      <w:tr>
        <w:tblPrEx>
          <w:tblCellMar>
            <w:top w:w="0" w:type="dxa"/>
            <w:left w:w="108" w:type="dxa"/>
            <w:bottom w:w="0" w:type="dxa"/>
            <w:right w:w="108" w:type="dxa"/>
          </w:tblCellMar>
        </w:tblPrEx>
        <w:trPr>
          <w:trHeight w:val="26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2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3#楼</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甲级防火门</w:t>
            </w:r>
          </w:p>
        </w:tc>
        <w:tc>
          <w:tcPr>
            <w:tcW w:w="11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JFM1822</w:t>
            </w:r>
          </w:p>
        </w:tc>
        <w:tc>
          <w:tcPr>
            <w:tcW w:w="7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仿宋"/>
                <w:color w:val="000000"/>
                <w:kern w:val="0"/>
                <w:sz w:val="20"/>
                <w:szCs w:val="20"/>
                <w:lang w:bidi="ar"/>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1.8</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2.2</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9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3.96</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r>
      <w:tr>
        <w:tblPrEx>
          <w:tblCellMar>
            <w:top w:w="0" w:type="dxa"/>
            <w:left w:w="108" w:type="dxa"/>
            <w:bottom w:w="0" w:type="dxa"/>
            <w:right w:w="108" w:type="dxa"/>
          </w:tblCellMar>
        </w:tblPrEx>
        <w:trPr>
          <w:trHeight w:val="26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乙级防火门</w:t>
            </w:r>
          </w:p>
        </w:tc>
        <w:tc>
          <w:tcPr>
            <w:tcW w:w="11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YFM1322</w:t>
            </w:r>
          </w:p>
        </w:tc>
        <w:tc>
          <w:tcPr>
            <w:tcW w:w="7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仿宋"/>
                <w:color w:val="000000"/>
                <w:kern w:val="0"/>
                <w:sz w:val="20"/>
                <w:szCs w:val="20"/>
                <w:lang w:bidi="ar"/>
              </w:rPr>
            </w:pP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1.3</w:t>
            </w:r>
          </w:p>
        </w:tc>
        <w:tc>
          <w:tcPr>
            <w:tcW w:w="7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2.2</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9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5.72</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r>
      <w:tr>
        <w:tblPrEx>
          <w:tblCellMar>
            <w:top w:w="0" w:type="dxa"/>
            <w:left w:w="108" w:type="dxa"/>
            <w:bottom w:w="0" w:type="dxa"/>
            <w:right w:w="108" w:type="dxa"/>
          </w:tblCellMar>
        </w:tblPrEx>
        <w:trPr>
          <w:trHeight w:val="26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乙级防火门</w:t>
            </w:r>
          </w:p>
        </w:tc>
        <w:tc>
          <w:tcPr>
            <w:tcW w:w="11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YFM1222</w:t>
            </w:r>
          </w:p>
        </w:tc>
        <w:tc>
          <w:tcPr>
            <w:tcW w:w="7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仿宋"/>
                <w:color w:val="000000"/>
                <w:kern w:val="0"/>
                <w:sz w:val="20"/>
                <w:szCs w:val="20"/>
                <w:lang w:bidi="ar"/>
              </w:rPr>
            </w:pP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1.2</w:t>
            </w:r>
          </w:p>
        </w:tc>
        <w:tc>
          <w:tcPr>
            <w:tcW w:w="7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2.2</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9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2.64</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r>
      <w:tr>
        <w:tblPrEx>
          <w:tblCellMar>
            <w:top w:w="0" w:type="dxa"/>
            <w:left w:w="108" w:type="dxa"/>
            <w:bottom w:w="0" w:type="dxa"/>
            <w:right w:w="108" w:type="dxa"/>
          </w:tblCellMar>
        </w:tblPrEx>
        <w:trPr>
          <w:trHeight w:val="26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0"/>
                <w:szCs w:val="20"/>
              </w:rPr>
            </w:pPr>
            <w:r>
              <w:rPr>
                <w:rFonts w:hint="eastAsia" w:ascii="仿宋" w:hAnsi="仿宋" w:eastAsia="仿宋" w:cs="仿宋"/>
                <w:color w:val="000000"/>
                <w:sz w:val="20"/>
                <w:szCs w:val="20"/>
              </w:rPr>
              <w:t>4</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5277"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小计</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b/>
                <w:bCs/>
                <w:color w:val="000000"/>
                <w:sz w:val="20"/>
                <w:szCs w:val="20"/>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12.32</w:t>
            </w:r>
          </w:p>
        </w:tc>
        <w:tc>
          <w:tcPr>
            <w:tcW w:w="70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b/>
                <w:bCs/>
                <w:color w:val="000000"/>
                <w:sz w:val="20"/>
                <w:szCs w:val="20"/>
              </w:rPr>
            </w:pPr>
          </w:p>
        </w:tc>
        <w:tc>
          <w:tcPr>
            <w:tcW w:w="119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2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5#楼</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甲级防火门</w:t>
            </w:r>
          </w:p>
        </w:tc>
        <w:tc>
          <w:tcPr>
            <w:tcW w:w="11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JFM1222</w:t>
            </w:r>
          </w:p>
        </w:tc>
        <w:tc>
          <w:tcPr>
            <w:tcW w:w="7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仿宋"/>
                <w:color w:val="000000"/>
                <w:kern w:val="0"/>
                <w:sz w:val="20"/>
                <w:szCs w:val="20"/>
                <w:lang w:bidi="ar"/>
              </w:rPr>
            </w:pP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1.2</w:t>
            </w:r>
          </w:p>
        </w:tc>
        <w:tc>
          <w:tcPr>
            <w:tcW w:w="7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2.2</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5.28</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甲级防火门</w:t>
            </w:r>
          </w:p>
        </w:tc>
        <w:tc>
          <w:tcPr>
            <w:tcW w:w="11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JFM1022n</w:t>
            </w:r>
          </w:p>
        </w:tc>
        <w:tc>
          <w:tcPr>
            <w:tcW w:w="7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仿宋"/>
                <w:color w:val="000000"/>
                <w:kern w:val="0"/>
                <w:sz w:val="20"/>
                <w:szCs w:val="20"/>
                <w:lang w:bidi="ar"/>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2.2</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4.4</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甲级防火门</w:t>
            </w:r>
          </w:p>
        </w:tc>
        <w:tc>
          <w:tcPr>
            <w:tcW w:w="11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JFM1022s</w:t>
            </w:r>
          </w:p>
        </w:tc>
        <w:tc>
          <w:tcPr>
            <w:tcW w:w="7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仿宋"/>
                <w:color w:val="000000"/>
                <w:kern w:val="0"/>
                <w:sz w:val="20"/>
                <w:szCs w:val="20"/>
                <w:lang w:bidi="ar"/>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2.2</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4.4</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甲级防火门</w:t>
            </w:r>
          </w:p>
        </w:tc>
        <w:tc>
          <w:tcPr>
            <w:tcW w:w="11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JFM0922n</w:t>
            </w:r>
          </w:p>
        </w:tc>
        <w:tc>
          <w:tcPr>
            <w:tcW w:w="7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仿宋"/>
                <w:color w:val="000000"/>
                <w:kern w:val="0"/>
                <w:sz w:val="20"/>
                <w:szCs w:val="20"/>
                <w:lang w:bidi="ar"/>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0.9</w:t>
            </w:r>
          </w:p>
        </w:tc>
        <w:tc>
          <w:tcPr>
            <w:tcW w:w="7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2.2</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1.98</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甲级防火门</w:t>
            </w:r>
          </w:p>
        </w:tc>
        <w:tc>
          <w:tcPr>
            <w:tcW w:w="11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JFM0922s</w:t>
            </w:r>
          </w:p>
        </w:tc>
        <w:tc>
          <w:tcPr>
            <w:tcW w:w="7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仿宋"/>
                <w:color w:val="000000"/>
                <w:kern w:val="0"/>
                <w:sz w:val="20"/>
                <w:szCs w:val="20"/>
                <w:lang w:bidi="ar"/>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0.9</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2.2</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1.98</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乙级防火门</w:t>
            </w:r>
          </w:p>
        </w:tc>
        <w:tc>
          <w:tcPr>
            <w:tcW w:w="11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YFM1123n</w:t>
            </w:r>
          </w:p>
        </w:tc>
        <w:tc>
          <w:tcPr>
            <w:tcW w:w="7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仿宋"/>
                <w:color w:val="000000"/>
                <w:kern w:val="0"/>
                <w:sz w:val="20"/>
                <w:szCs w:val="20"/>
                <w:lang w:bidi="ar"/>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1.1</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2.3</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16</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40.48</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乙级防火门</w:t>
            </w:r>
          </w:p>
        </w:tc>
        <w:tc>
          <w:tcPr>
            <w:tcW w:w="11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YFM1123s</w:t>
            </w:r>
          </w:p>
        </w:tc>
        <w:tc>
          <w:tcPr>
            <w:tcW w:w="7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仿宋"/>
                <w:color w:val="000000"/>
                <w:kern w:val="0"/>
                <w:sz w:val="20"/>
                <w:szCs w:val="20"/>
                <w:lang w:bidi="ar"/>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1.1</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2.3</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16</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40.48</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乙级防火门</w:t>
            </w:r>
          </w:p>
        </w:tc>
        <w:tc>
          <w:tcPr>
            <w:tcW w:w="11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YFM1022n</w:t>
            </w:r>
          </w:p>
        </w:tc>
        <w:tc>
          <w:tcPr>
            <w:tcW w:w="7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仿宋"/>
                <w:color w:val="000000"/>
                <w:kern w:val="0"/>
                <w:sz w:val="20"/>
                <w:szCs w:val="20"/>
                <w:lang w:bidi="ar"/>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2.2</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16</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35.2</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9</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乙级防火门</w:t>
            </w:r>
          </w:p>
        </w:tc>
        <w:tc>
          <w:tcPr>
            <w:tcW w:w="11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YFM1022s</w:t>
            </w:r>
          </w:p>
        </w:tc>
        <w:tc>
          <w:tcPr>
            <w:tcW w:w="7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仿宋"/>
                <w:color w:val="000000"/>
                <w:kern w:val="0"/>
                <w:sz w:val="20"/>
                <w:szCs w:val="20"/>
                <w:lang w:bidi="ar"/>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2.2</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16</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35.2</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丙级防火门</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BFM0821n</w:t>
            </w:r>
          </w:p>
        </w:tc>
        <w:tc>
          <w:tcPr>
            <w:tcW w:w="7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仿宋"/>
                <w:color w:val="000000"/>
                <w:kern w:val="0"/>
                <w:sz w:val="20"/>
                <w:szCs w:val="20"/>
                <w:lang w:bidi="ar"/>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0.8</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2.1</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1.68</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11</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丙级防火门</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BFM0821s</w:t>
            </w:r>
          </w:p>
        </w:tc>
        <w:tc>
          <w:tcPr>
            <w:tcW w:w="7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仿宋"/>
                <w:color w:val="000000"/>
                <w:kern w:val="0"/>
                <w:sz w:val="20"/>
                <w:szCs w:val="20"/>
                <w:lang w:bidi="ar"/>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0.8</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2.1</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1.68</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12</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丙级防火门</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BFM0621s</w:t>
            </w:r>
          </w:p>
        </w:tc>
        <w:tc>
          <w:tcPr>
            <w:tcW w:w="7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仿宋"/>
                <w:color w:val="000000"/>
                <w:kern w:val="0"/>
                <w:sz w:val="20"/>
                <w:szCs w:val="20"/>
                <w:lang w:bidi="ar"/>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0.6</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2.1</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14</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17.64</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13</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丙级防火门</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BFM0621n</w:t>
            </w:r>
          </w:p>
        </w:tc>
        <w:tc>
          <w:tcPr>
            <w:tcW w:w="7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仿宋"/>
                <w:color w:val="000000"/>
                <w:kern w:val="0"/>
                <w:sz w:val="20"/>
                <w:szCs w:val="20"/>
                <w:lang w:bidi="ar"/>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0.6</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2.1</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14</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17.64</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14</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丙级防火门</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BFM0721s</w:t>
            </w:r>
          </w:p>
        </w:tc>
        <w:tc>
          <w:tcPr>
            <w:tcW w:w="7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仿宋"/>
                <w:color w:val="000000"/>
                <w:kern w:val="0"/>
                <w:sz w:val="20"/>
                <w:szCs w:val="20"/>
                <w:lang w:bidi="ar"/>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0.7</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2.1</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11.76</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15</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丙级防火门</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BFM0721n</w:t>
            </w:r>
          </w:p>
        </w:tc>
        <w:tc>
          <w:tcPr>
            <w:tcW w:w="7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仿宋"/>
                <w:color w:val="000000"/>
                <w:kern w:val="0"/>
                <w:sz w:val="20"/>
                <w:szCs w:val="20"/>
                <w:lang w:bidi="ar"/>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0.7</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2.1</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11.76</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16</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丙级防火门</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BFM0609s</w:t>
            </w:r>
          </w:p>
        </w:tc>
        <w:tc>
          <w:tcPr>
            <w:tcW w:w="7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仿宋"/>
                <w:color w:val="000000"/>
                <w:kern w:val="0"/>
                <w:sz w:val="20"/>
                <w:szCs w:val="20"/>
                <w:lang w:bidi="ar"/>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0.6</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0.9</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1.62</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17</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丙级防火门</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BFM0609n</w:t>
            </w:r>
          </w:p>
        </w:tc>
        <w:tc>
          <w:tcPr>
            <w:tcW w:w="7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仿宋"/>
                <w:color w:val="000000"/>
                <w:kern w:val="0"/>
                <w:sz w:val="20"/>
                <w:szCs w:val="20"/>
                <w:lang w:bidi="ar"/>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0.6</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0.9</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1.62</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26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0"/>
                <w:szCs w:val="20"/>
              </w:rPr>
            </w:pPr>
            <w:r>
              <w:rPr>
                <w:rFonts w:hint="eastAsia" w:ascii="仿宋" w:hAnsi="仿宋" w:eastAsia="仿宋" w:cs="仿宋"/>
                <w:color w:val="000000"/>
                <w:sz w:val="20"/>
                <w:szCs w:val="20"/>
              </w:rPr>
              <w:t>18</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5277"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小计</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b/>
                <w:bCs/>
                <w:color w:val="000000"/>
                <w:sz w:val="20"/>
                <w:szCs w:val="20"/>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234.8</w:t>
            </w:r>
          </w:p>
        </w:tc>
        <w:tc>
          <w:tcPr>
            <w:tcW w:w="70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b/>
                <w:bCs/>
                <w:color w:val="000000"/>
                <w:sz w:val="20"/>
                <w:szCs w:val="20"/>
              </w:rPr>
            </w:pPr>
          </w:p>
        </w:tc>
        <w:tc>
          <w:tcPr>
            <w:tcW w:w="119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2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6#楼</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甲级防火门</w:t>
            </w:r>
          </w:p>
        </w:tc>
        <w:tc>
          <w:tcPr>
            <w:tcW w:w="11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JFM1222</w:t>
            </w:r>
          </w:p>
        </w:tc>
        <w:tc>
          <w:tcPr>
            <w:tcW w:w="7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仿宋"/>
                <w:color w:val="000000"/>
                <w:kern w:val="0"/>
                <w:sz w:val="20"/>
                <w:szCs w:val="20"/>
                <w:lang w:bidi="ar"/>
              </w:rPr>
            </w:pP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1.2</w:t>
            </w:r>
          </w:p>
        </w:tc>
        <w:tc>
          <w:tcPr>
            <w:tcW w:w="7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2.2</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5.28</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甲级防火门</w:t>
            </w:r>
          </w:p>
        </w:tc>
        <w:tc>
          <w:tcPr>
            <w:tcW w:w="11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JFM1022n</w:t>
            </w:r>
          </w:p>
        </w:tc>
        <w:tc>
          <w:tcPr>
            <w:tcW w:w="7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仿宋"/>
                <w:color w:val="000000"/>
                <w:kern w:val="0"/>
                <w:sz w:val="20"/>
                <w:szCs w:val="20"/>
                <w:lang w:bidi="ar"/>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2.2</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4.4</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甲级防火门</w:t>
            </w:r>
          </w:p>
        </w:tc>
        <w:tc>
          <w:tcPr>
            <w:tcW w:w="11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JFM1022s</w:t>
            </w:r>
          </w:p>
        </w:tc>
        <w:tc>
          <w:tcPr>
            <w:tcW w:w="7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仿宋"/>
                <w:color w:val="000000"/>
                <w:kern w:val="0"/>
                <w:sz w:val="20"/>
                <w:szCs w:val="20"/>
                <w:lang w:bidi="ar"/>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2.2</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4.4</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甲级防火门</w:t>
            </w:r>
          </w:p>
        </w:tc>
        <w:tc>
          <w:tcPr>
            <w:tcW w:w="11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JFM0922n</w:t>
            </w:r>
          </w:p>
        </w:tc>
        <w:tc>
          <w:tcPr>
            <w:tcW w:w="7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仿宋"/>
                <w:color w:val="000000"/>
                <w:kern w:val="0"/>
                <w:sz w:val="20"/>
                <w:szCs w:val="20"/>
                <w:lang w:bidi="ar"/>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0.9</w:t>
            </w:r>
          </w:p>
        </w:tc>
        <w:tc>
          <w:tcPr>
            <w:tcW w:w="7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2.2</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1.98</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甲级防火门</w:t>
            </w:r>
          </w:p>
        </w:tc>
        <w:tc>
          <w:tcPr>
            <w:tcW w:w="11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JFM0922s</w:t>
            </w:r>
          </w:p>
        </w:tc>
        <w:tc>
          <w:tcPr>
            <w:tcW w:w="7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仿宋"/>
                <w:color w:val="000000"/>
                <w:kern w:val="0"/>
                <w:sz w:val="20"/>
                <w:szCs w:val="20"/>
                <w:lang w:bidi="ar"/>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0.9</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2.2</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1.98</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乙级防火门</w:t>
            </w:r>
          </w:p>
        </w:tc>
        <w:tc>
          <w:tcPr>
            <w:tcW w:w="11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YFM1123n</w:t>
            </w:r>
          </w:p>
        </w:tc>
        <w:tc>
          <w:tcPr>
            <w:tcW w:w="7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仿宋"/>
                <w:color w:val="000000"/>
                <w:kern w:val="0"/>
                <w:sz w:val="20"/>
                <w:szCs w:val="20"/>
                <w:lang w:bidi="ar"/>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1.1</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2.3</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16</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40.48</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乙级防火门</w:t>
            </w:r>
          </w:p>
        </w:tc>
        <w:tc>
          <w:tcPr>
            <w:tcW w:w="11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YFM1123s</w:t>
            </w:r>
          </w:p>
        </w:tc>
        <w:tc>
          <w:tcPr>
            <w:tcW w:w="7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仿宋"/>
                <w:color w:val="000000"/>
                <w:kern w:val="0"/>
                <w:sz w:val="20"/>
                <w:szCs w:val="20"/>
                <w:lang w:bidi="ar"/>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1.1</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2.3</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16</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40.48</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乙级防火门</w:t>
            </w:r>
          </w:p>
        </w:tc>
        <w:tc>
          <w:tcPr>
            <w:tcW w:w="11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YFM1022n</w:t>
            </w:r>
          </w:p>
        </w:tc>
        <w:tc>
          <w:tcPr>
            <w:tcW w:w="7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仿宋"/>
                <w:color w:val="000000"/>
                <w:kern w:val="0"/>
                <w:sz w:val="20"/>
                <w:szCs w:val="20"/>
                <w:lang w:bidi="ar"/>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2.2</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16</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35.2</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9</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乙级防火门</w:t>
            </w:r>
          </w:p>
        </w:tc>
        <w:tc>
          <w:tcPr>
            <w:tcW w:w="11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YFM1022s</w:t>
            </w:r>
          </w:p>
        </w:tc>
        <w:tc>
          <w:tcPr>
            <w:tcW w:w="7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仿宋"/>
                <w:color w:val="000000"/>
                <w:kern w:val="0"/>
                <w:sz w:val="20"/>
                <w:szCs w:val="20"/>
                <w:lang w:bidi="ar"/>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2.2</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16</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35.2</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丙级防火门</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BFM0821n</w:t>
            </w:r>
          </w:p>
        </w:tc>
        <w:tc>
          <w:tcPr>
            <w:tcW w:w="7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仿宋"/>
                <w:color w:val="000000"/>
                <w:kern w:val="0"/>
                <w:sz w:val="20"/>
                <w:szCs w:val="20"/>
                <w:lang w:bidi="ar"/>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0.8</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2.1</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1.68</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11</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丙级防火门</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BFM0821s</w:t>
            </w:r>
          </w:p>
        </w:tc>
        <w:tc>
          <w:tcPr>
            <w:tcW w:w="7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仿宋"/>
                <w:color w:val="000000"/>
                <w:kern w:val="0"/>
                <w:sz w:val="20"/>
                <w:szCs w:val="20"/>
                <w:lang w:bidi="ar"/>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0.8</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2.1</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1.68</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12</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丙级防火门</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BFM0621s</w:t>
            </w:r>
          </w:p>
        </w:tc>
        <w:tc>
          <w:tcPr>
            <w:tcW w:w="7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仿宋"/>
                <w:color w:val="000000"/>
                <w:kern w:val="0"/>
                <w:sz w:val="20"/>
                <w:szCs w:val="20"/>
                <w:lang w:bidi="ar"/>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0.6</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2.1</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14</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17.64</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13</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丙级防火门</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BFM0621n</w:t>
            </w:r>
          </w:p>
        </w:tc>
        <w:tc>
          <w:tcPr>
            <w:tcW w:w="7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仿宋"/>
                <w:color w:val="000000"/>
                <w:kern w:val="0"/>
                <w:sz w:val="20"/>
                <w:szCs w:val="20"/>
                <w:lang w:bidi="ar"/>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0.6</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2.1</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14</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17.64</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14</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丙级防火门</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BFM0721s</w:t>
            </w:r>
          </w:p>
        </w:tc>
        <w:tc>
          <w:tcPr>
            <w:tcW w:w="7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仿宋"/>
                <w:color w:val="000000"/>
                <w:kern w:val="0"/>
                <w:sz w:val="20"/>
                <w:szCs w:val="20"/>
                <w:lang w:bidi="ar"/>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0.7</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2.1</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11.76</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15</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丙级防火门</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BFM0721n</w:t>
            </w:r>
          </w:p>
        </w:tc>
        <w:tc>
          <w:tcPr>
            <w:tcW w:w="7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仿宋"/>
                <w:color w:val="000000"/>
                <w:kern w:val="0"/>
                <w:sz w:val="20"/>
                <w:szCs w:val="20"/>
                <w:lang w:bidi="ar"/>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0.7</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2.1</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11.76</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16</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丙级防火门</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BFM0609s</w:t>
            </w:r>
          </w:p>
        </w:tc>
        <w:tc>
          <w:tcPr>
            <w:tcW w:w="7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仿宋"/>
                <w:color w:val="000000"/>
                <w:kern w:val="0"/>
                <w:sz w:val="20"/>
                <w:szCs w:val="20"/>
                <w:lang w:bidi="ar"/>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0.6</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0.9</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1.62</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17</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丙级防火门</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BFM0609n</w:t>
            </w:r>
          </w:p>
        </w:tc>
        <w:tc>
          <w:tcPr>
            <w:tcW w:w="7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仿宋"/>
                <w:color w:val="000000"/>
                <w:kern w:val="0"/>
                <w:sz w:val="20"/>
                <w:szCs w:val="20"/>
                <w:lang w:bidi="ar"/>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0.6</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0.9</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1.62</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26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0"/>
                <w:szCs w:val="20"/>
              </w:rPr>
            </w:pPr>
            <w:r>
              <w:rPr>
                <w:rFonts w:hint="eastAsia" w:ascii="仿宋" w:hAnsi="仿宋" w:eastAsia="仿宋" w:cs="仿宋"/>
                <w:color w:val="000000"/>
                <w:sz w:val="20"/>
                <w:szCs w:val="20"/>
              </w:rPr>
              <w:t>18</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5277"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小计</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b/>
                <w:bCs/>
                <w:color w:val="000000"/>
                <w:sz w:val="20"/>
                <w:szCs w:val="20"/>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234.8</w:t>
            </w:r>
          </w:p>
        </w:tc>
        <w:tc>
          <w:tcPr>
            <w:tcW w:w="70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b/>
                <w:bCs/>
                <w:color w:val="000000"/>
                <w:sz w:val="20"/>
                <w:szCs w:val="20"/>
              </w:rPr>
            </w:pPr>
          </w:p>
        </w:tc>
        <w:tc>
          <w:tcPr>
            <w:tcW w:w="119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r>
      <w:tr>
        <w:tblPrEx>
          <w:tblCellMar>
            <w:top w:w="0" w:type="dxa"/>
            <w:left w:w="108" w:type="dxa"/>
            <w:bottom w:w="0" w:type="dxa"/>
            <w:right w:w="108" w:type="dxa"/>
          </w:tblCellMar>
        </w:tblPrEx>
        <w:trPr>
          <w:trHeight w:val="26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27" w:type="dxa"/>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7#楼（开关站）</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甲级防火门</w:t>
            </w:r>
          </w:p>
        </w:tc>
        <w:tc>
          <w:tcPr>
            <w:tcW w:w="11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JFM2430</w:t>
            </w:r>
          </w:p>
        </w:tc>
        <w:tc>
          <w:tcPr>
            <w:tcW w:w="7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仿宋"/>
                <w:color w:val="000000"/>
                <w:kern w:val="0"/>
                <w:sz w:val="20"/>
                <w:szCs w:val="20"/>
                <w:lang w:bidi="ar"/>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2.4</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28.8</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r>
      <w:tr>
        <w:tblPrEx>
          <w:tblCellMar>
            <w:top w:w="0" w:type="dxa"/>
            <w:left w:w="108" w:type="dxa"/>
            <w:bottom w:w="0" w:type="dxa"/>
            <w:right w:w="108" w:type="dxa"/>
          </w:tblCellMar>
        </w:tblPrEx>
        <w:trPr>
          <w:trHeight w:val="26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627" w:type="dxa"/>
            <w:vMerge w:val="continue"/>
            <w:tcBorders>
              <w:top w:val="nil"/>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甲级防火门</w:t>
            </w:r>
          </w:p>
        </w:tc>
        <w:tc>
          <w:tcPr>
            <w:tcW w:w="11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JFM1522</w:t>
            </w:r>
          </w:p>
        </w:tc>
        <w:tc>
          <w:tcPr>
            <w:tcW w:w="7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仿宋"/>
                <w:color w:val="000000"/>
                <w:kern w:val="0"/>
                <w:sz w:val="20"/>
                <w:szCs w:val="20"/>
                <w:lang w:bidi="ar"/>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1.5</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2.2</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3.3</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r>
      <w:tr>
        <w:tblPrEx>
          <w:tblCellMar>
            <w:top w:w="0" w:type="dxa"/>
            <w:left w:w="108" w:type="dxa"/>
            <w:bottom w:w="0" w:type="dxa"/>
            <w:right w:w="108" w:type="dxa"/>
          </w:tblCellMar>
        </w:tblPrEx>
        <w:trPr>
          <w:trHeight w:val="434"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0"/>
                <w:szCs w:val="20"/>
              </w:rPr>
            </w:pPr>
            <w:bookmarkStart w:id="226" w:name="OLE_LINK17"/>
            <w:r>
              <w:rPr>
                <w:rFonts w:hint="eastAsia" w:ascii="仿宋" w:hAnsi="仿宋" w:eastAsia="仿宋" w:cs="仿宋"/>
                <w:color w:val="000000"/>
                <w:sz w:val="20"/>
                <w:szCs w:val="20"/>
              </w:rPr>
              <w:t>3</w:t>
            </w:r>
          </w:p>
        </w:tc>
        <w:tc>
          <w:tcPr>
            <w:tcW w:w="627" w:type="dxa"/>
            <w:vMerge w:val="continue"/>
            <w:tcBorders>
              <w:top w:val="nil"/>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5277"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小计</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b/>
                <w:bCs/>
                <w:color w:val="000000"/>
                <w:sz w:val="20"/>
                <w:szCs w:val="20"/>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32.1</w:t>
            </w:r>
          </w:p>
        </w:tc>
        <w:tc>
          <w:tcPr>
            <w:tcW w:w="70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b/>
                <w:bCs/>
                <w:color w:val="000000"/>
                <w:sz w:val="20"/>
                <w:szCs w:val="20"/>
              </w:rPr>
            </w:pPr>
          </w:p>
        </w:tc>
        <w:tc>
          <w:tcPr>
            <w:tcW w:w="119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r>
      <w:bookmarkEnd w:id="226"/>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2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8#楼</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甲级防火门</w:t>
            </w:r>
          </w:p>
        </w:tc>
        <w:tc>
          <w:tcPr>
            <w:tcW w:w="11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JFM1222</w:t>
            </w:r>
          </w:p>
        </w:tc>
        <w:tc>
          <w:tcPr>
            <w:tcW w:w="7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仿宋"/>
                <w:color w:val="000000"/>
                <w:kern w:val="0"/>
                <w:sz w:val="20"/>
                <w:szCs w:val="20"/>
                <w:lang w:bidi="ar"/>
              </w:rPr>
            </w:pP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1.2</w:t>
            </w:r>
          </w:p>
        </w:tc>
        <w:tc>
          <w:tcPr>
            <w:tcW w:w="7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2.2</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5.28</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甲级防火门</w:t>
            </w:r>
          </w:p>
        </w:tc>
        <w:tc>
          <w:tcPr>
            <w:tcW w:w="11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JFM1022n</w:t>
            </w:r>
          </w:p>
        </w:tc>
        <w:tc>
          <w:tcPr>
            <w:tcW w:w="7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仿宋"/>
                <w:color w:val="000000"/>
                <w:kern w:val="0"/>
                <w:sz w:val="20"/>
                <w:szCs w:val="20"/>
                <w:lang w:bidi="ar"/>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2.2</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4.4</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甲级防火门</w:t>
            </w:r>
          </w:p>
        </w:tc>
        <w:tc>
          <w:tcPr>
            <w:tcW w:w="11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JFM1022s</w:t>
            </w:r>
          </w:p>
        </w:tc>
        <w:tc>
          <w:tcPr>
            <w:tcW w:w="7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仿宋"/>
                <w:color w:val="000000"/>
                <w:kern w:val="0"/>
                <w:sz w:val="20"/>
                <w:szCs w:val="20"/>
                <w:lang w:bidi="ar"/>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2.2</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4.4</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甲级防火门</w:t>
            </w:r>
          </w:p>
        </w:tc>
        <w:tc>
          <w:tcPr>
            <w:tcW w:w="11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JFM0922n</w:t>
            </w:r>
          </w:p>
        </w:tc>
        <w:tc>
          <w:tcPr>
            <w:tcW w:w="7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仿宋"/>
                <w:color w:val="000000"/>
                <w:kern w:val="0"/>
                <w:sz w:val="20"/>
                <w:szCs w:val="20"/>
                <w:lang w:bidi="ar"/>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0.9</w:t>
            </w:r>
          </w:p>
        </w:tc>
        <w:tc>
          <w:tcPr>
            <w:tcW w:w="7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2.2</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1.98</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甲级防火门</w:t>
            </w:r>
          </w:p>
        </w:tc>
        <w:tc>
          <w:tcPr>
            <w:tcW w:w="11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JFM0922s</w:t>
            </w:r>
          </w:p>
        </w:tc>
        <w:tc>
          <w:tcPr>
            <w:tcW w:w="7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仿宋"/>
                <w:color w:val="000000"/>
                <w:kern w:val="0"/>
                <w:sz w:val="20"/>
                <w:szCs w:val="20"/>
                <w:lang w:bidi="ar"/>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0.9</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2.2</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1.98</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乙级防火门</w:t>
            </w:r>
          </w:p>
        </w:tc>
        <w:tc>
          <w:tcPr>
            <w:tcW w:w="11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YFM1123n</w:t>
            </w:r>
          </w:p>
        </w:tc>
        <w:tc>
          <w:tcPr>
            <w:tcW w:w="7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仿宋"/>
                <w:color w:val="000000"/>
                <w:kern w:val="0"/>
                <w:sz w:val="20"/>
                <w:szCs w:val="20"/>
                <w:lang w:bidi="ar"/>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1.1</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2.3</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16</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40.48</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乙级防火门</w:t>
            </w:r>
          </w:p>
        </w:tc>
        <w:tc>
          <w:tcPr>
            <w:tcW w:w="11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YFM1123s</w:t>
            </w:r>
          </w:p>
        </w:tc>
        <w:tc>
          <w:tcPr>
            <w:tcW w:w="7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仿宋"/>
                <w:color w:val="000000"/>
                <w:kern w:val="0"/>
                <w:sz w:val="20"/>
                <w:szCs w:val="20"/>
                <w:lang w:bidi="ar"/>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1.1</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2.3</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16</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40.48</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乙级防火门</w:t>
            </w:r>
          </w:p>
        </w:tc>
        <w:tc>
          <w:tcPr>
            <w:tcW w:w="11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YFM1022n</w:t>
            </w:r>
          </w:p>
        </w:tc>
        <w:tc>
          <w:tcPr>
            <w:tcW w:w="7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仿宋"/>
                <w:color w:val="000000"/>
                <w:kern w:val="0"/>
                <w:sz w:val="20"/>
                <w:szCs w:val="20"/>
                <w:lang w:bidi="ar"/>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2.2</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16</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35.2</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9</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乙级防火门</w:t>
            </w:r>
          </w:p>
        </w:tc>
        <w:tc>
          <w:tcPr>
            <w:tcW w:w="11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YFM1022s</w:t>
            </w:r>
          </w:p>
        </w:tc>
        <w:tc>
          <w:tcPr>
            <w:tcW w:w="7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仿宋"/>
                <w:color w:val="000000"/>
                <w:kern w:val="0"/>
                <w:sz w:val="20"/>
                <w:szCs w:val="20"/>
                <w:lang w:bidi="ar"/>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2.2</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16</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35.2</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丙级防火门</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BFM0821n</w:t>
            </w:r>
          </w:p>
        </w:tc>
        <w:tc>
          <w:tcPr>
            <w:tcW w:w="7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仿宋"/>
                <w:color w:val="000000"/>
                <w:kern w:val="0"/>
                <w:sz w:val="20"/>
                <w:szCs w:val="20"/>
                <w:lang w:bidi="ar"/>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0.8</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2.1</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1.68</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11</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丙级防火门</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BFM0821s</w:t>
            </w:r>
          </w:p>
        </w:tc>
        <w:tc>
          <w:tcPr>
            <w:tcW w:w="7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仿宋"/>
                <w:color w:val="000000"/>
                <w:kern w:val="0"/>
                <w:sz w:val="20"/>
                <w:szCs w:val="20"/>
                <w:lang w:bidi="ar"/>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0.8</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2.1</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1.68</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12</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丙级防火门</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BFM0621s</w:t>
            </w:r>
          </w:p>
        </w:tc>
        <w:tc>
          <w:tcPr>
            <w:tcW w:w="7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仿宋"/>
                <w:color w:val="000000"/>
                <w:kern w:val="0"/>
                <w:sz w:val="20"/>
                <w:szCs w:val="20"/>
                <w:lang w:bidi="ar"/>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0.6</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2.1</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14</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17.64</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13</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丙级防火门</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BFM0621n</w:t>
            </w:r>
          </w:p>
        </w:tc>
        <w:tc>
          <w:tcPr>
            <w:tcW w:w="7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仿宋"/>
                <w:color w:val="000000"/>
                <w:kern w:val="0"/>
                <w:sz w:val="20"/>
                <w:szCs w:val="20"/>
                <w:lang w:bidi="ar"/>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0.6</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2.1</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14</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17.64</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14</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丙级防火门</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BFM0721s</w:t>
            </w:r>
          </w:p>
        </w:tc>
        <w:tc>
          <w:tcPr>
            <w:tcW w:w="7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仿宋"/>
                <w:color w:val="000000"/>
                <w:kern w:val="0"/>
                <w:sz w:val="20"/>
                <w:szCs w:val="20"/>
                <w:lang w:bidi="ar"/>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0.7</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2.1</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11.76</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15</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丙级防火门</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BFM0721n</w:t>
            </w:r>
          </w:p>
        </w:tc>
        <w:tc>
          <w:tcPr>
            <w:tcW w:w="7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仿宋"/>
                <w:color w:val="000000"/>
                <w:kern w:val="0"/>
                <w:sz w:val="20"/>
                <w:szCs w:val="20"/>
                <w:lang w:bidi="ar"/>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0.7</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2.1</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11.76</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16</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丙级防火门</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BFM0609s</w:t>
            </w:r>
          </w:p>
        </w:tc>
        <w:tc>
          <w:tcPr>
            <w:tcW w:w="7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仿宋"/>
                <w:color w:val="000000"/>
                <w:kern w:val="0"/>
                <w:sz w:val="20"/>
                <w:szCs w:val="20"/>
                <w:lang w:bidi="ar"/>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0.6</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0.9</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1.62</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17</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丙级防火门</w:t>
            </w:r>
          </w:p>
        </w:tc>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BFM0609n</w:t>
            </w:r>
          </w:p>
        </w:tc>
        <w:tc>
          <w:tcPr>
            <w:tcW w:w="7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仿宋"/>
                <w:color w:val="000000"/>
                <w:kern w:val="0"/>
                <w:sz w:val="20"/>
                <w:szCs w:val="20"/>
                <w:lang w:bidi="ar"/>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0.6</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0.9</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1.62</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26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0"/>
                <w:szCs w:val="20"/>
              </w:rPr>
            </w:pPr>
            <w:r>
              <w:rPr>
                <w:rFonts w:hint="eastAsia" w:ascii="仿宋" w:hAnsi="仿宋" w:eastAsia="仿宋" w:cs="仿宋"/>
                <w:color w:val="000000"/>
                <w:sz w:val="20"/>
                <w:szCs w:val="20"/>
              </w:rPr>
              <w:t>18</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5277"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小计</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b/>
                <w:bCs/>
                <w:color w:val="000000"/>
                <w:sz w:val="20"/>
                <w:szCs w:val="20"/>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234.8</w:t>
            </w:r>
          </w:p>
        </w:tc>
        <w:tc>
          <w:tcPr>
            <w:tcW w:w="70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b/>
                <w:bCs/>
                <w:color w:val="000000"/>
                <w:sz w:val="20"/>
                <w:szCs w:val="20"/>
              </w:rPr>
            </w:pPr>
          </w:p>
        </w:tc>
        <w:tc>
          <w:tcPr>
            <w:tcW w:w="119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2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9#楼</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甲级防火门</w:t>
            </w:r>
          </w:p>
        </w:tc>
        <w:tc>
          <w:tcPr>
            <w:tcW w:w="11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JFM1222</w:t>
            </w:r>
          </w:p>
        </w:tc>
        <w:tc>
          <w:tcPr>
            <w:tcW w:w="7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仿宋"/>
                <w:color w:val="000000"/>
                <w:kern w:val="0"/>
                <w:sz w:val="20"/>
                <w:szCs w:val="20"/>
                <w:lang w:bidi="ar"/>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1.2</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2.2</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2.64</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甲级防火门</w:t>
            </w:r>
          </w:p>
        </w:tc>
        <w:tc>
          <w:tcPr>
            <w:tcW w:w="11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JFM1022n</w:t>
            </w:r>
          </w:p>
        </w:tc>
        <w:tc>
          <w:tcPr>
            <w:tcW w:w="7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仿宋"/>
                <w:color w:val="000000"/>
                <w:kern w:val="0"/>
                <w:sz w:val="20"/>
                <w:szCs w:val="20"/>
                <w:lang w:bidi="ar"/>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2.2</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2.2</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甲级防火门</w:t>
            </w:r>
          </w:p>
        </w:tc>
        <w:tc>
          <w:tcPr>
            <w:tcW w:w="11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JFM1022s</w:t>
            </w:r>
          </w:p>
        </w:tc>
        <w:tc>
          <w:tcPr>
            <w:tcW w:w="7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仿宋"/>
                <w:color w:val="000000"/>
                <w:kern w:val="0"/>
                <w:sz w:val="20"/>
                <w:szCs w:val="20"/>
                <w:lang w:bidi="ar"/>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2.2</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2.2</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甲级防火门</w:t>
            </w:r>
          </w:p>
        </w:tc>
        <w:tc>
          <w:tcPr>
            <w:tcW w:w="11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JFM0922n</w:t>
            </w:r>
          </w:p>
        </w:tc>
        <w:tc>
          <w:tcPr>
            <w:tcW w:w="7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仿宋"/>
                <w:color w:val="000000"/>
                <w:kern w:val="0"/>
                <w:sz w:val="20"/>
                <w:szCs w:val="20"/>
                <w:lang w:bidi="ar"/>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0.9</w:t>
            </w:r>
          </w:p>
        </w:tc>
        <w:tc>
          <w:tcPr>
            <w:tcW w:w="7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2.2</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1.98</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乙级防火门</w:t>
            </w:r>
          </w:p>
        </w:tc>
        <w:tc>
          <w:tcPr>
            <w:tcW w:w="11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YFM1123n</w:t>
            </w:r>
          </w:p>
        </w:tc>
        <w:tc>
          <w:tcPr>
            <w:tcW w:w="7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仿宋"/>
                <w:color w:val="000000"/>
                <w:kern w:val="0"/>
                <w:sz w:val="20"/>
                <w:szCs w:val="20"/>
                <w:lang w:bidi="ar"/>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1.1</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2.3</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20.24</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乙级防火门</w:t>
            </w:r>
          </w:p>
        </w:tc>
        <w:tc>
          <w:tcPr>
            <w:tcW w:w="11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YFM1123s</w:t>
            </w:r>
          </w:p>
        </w:tc>
        <w:tc>
          <w:tcPr>
            <w:tcW w:w="7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仿宋"/>
                <w:color w:val="000000"/>
                <w:kern w:val="0"/>
                <w:sz w:val="20"/>
                <w:szCs w:val="20"/>
                <w:lang w:bidi="ar"/>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1.1</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2.3</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20.24</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乙级防火门</w:t>
            </w:r>
          </w:p>
        </w:tc>
        <w:tc>
          <w:tcPr>
            <w:tcW w:w="11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YFM1022n</w:t>
            </w:r>
          </w:p>
        </w:tc>
        <w:tc>
          <w:tcPr>
            <w:tcW w:w="7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仿宋"/>
                <w:color w:val="000000"/>
                <w:kern w:val="0"/>
                <w:sz w:val="20"/>
                <w:szCs w:val="20"/>
                <w:lang w:bidi="ar"/>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2.2</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17.6</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乙级防火门</w:t>
            </w:r>
          </w:p>
        </w:tc>
        <w:tc>
          <w:tcPr>
            <w:tcW w:w="11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YFM1022s</w:t>
            </w:r>
          </w:p>
        </w:tc>
        <w:tc>
          <w:tcPr>
            <w:tcW w:w="7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仿宋"/>
                <w:color w:val="000000"/>
                <w:kern w:val="0"/>
                <w:sz w:val="20"/>
                <w:szCs w:val="20"/>
                <w:lang w:bidi="ar"/>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2.2</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17.6</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9</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丙级防火门</w:t>
            </w:r>
          </w:p>
        </w:tc>
        <w:tc>
          <w:tcPr>
            <w:tcW w:w="11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BFM0821n</w:t>
            </w:r>
          </w:p>
        </w:tc>
        <w:tc>
          <w:tcPr>
            <w:tcW w:w="7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仿宋"/>
                <w:color w:val="000000"/>
                <w:kern w:val="0"/>
                <w:sz w:val="20"/>
                <w:szCs w:val="20"/>
                <w:lang w:bidi="ar"/>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0.8</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2.1</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1.68</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丙级防火门</w:t>
            </w:r>
          </w:p>
        </w:tc>
        <w:tc>
          <w:tcPr>
            <w:tcW w:w="11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BFM0621s</w:t>
            </w:r>
          </w:p>
        </w:tc>
        <w:tc>
          <w:tcPr>
            <w:tcW w:w="7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仿宋"/>
                <w:color w:val="000000"/>
                <w:kern w:val="0"/>
                <w:sz w:val="20"/>
                <w:szCs w:val="20"/>
                <w:lang w:bidi="ar"/>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0.6</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2.1</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10.08</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11</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丙级防火门</w:t>
            </w:r>
          </w:p>
        </w:tc>
        <w:tc>
          <w:tcPr>
            <w:tcW w:w="11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BFM0621n</w:t>
            </w:r>
          </w:p>
        </w:tc>
        <w:tc>
          <w:tcPr>
            <w:tcW w:w="7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仿宋"/>
                <w:color w:val="000000"/>
                <w:kern w:val="0"/>
                <w:sz w:val="20"/>
                <w:szCs w:val="20"/>
                <w:lang w:bidi="ar"/>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0.6</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2.1</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10.08</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12</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丙级防火门</w:t>
            </w:r>
          </w:p>
        </w:tc>
        <w:tc>
          <w:tcPr>
            <w:tcW w:w="11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BFM0721s</w:t>
            </w:r>
          </w:p>
        </w:tc>
        <w:tc>
          <w:tcPr>
            <w:tcW w:w="7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仿宋"/>
                <w:color w:val="000000"/>
                <w:kern w:val="0"/>
                <w:sz w:val="20"/>
                <w:szCs w:val="20"/>
                <w:lang w:bidi="ar"/>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0.7</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2.1</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11.76</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13</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丙级防火门</w:t>
            </w:r>
          </w:p>
        </w:tc>
        <w:tc>
          <w:tcPr>
            <w:tcW w:w="11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BFM0609n</w:t>
            </w:r>
          </w:p>
        </w:tc>
        <w:tc>
          <w:tcPr>
            <w:tcW w:w="7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仿宋"/>
                <w:color w:val="000000"/>
                <w:kern w:val="0"/>
                <w:sz w:val="20"/>
                <w:szCs w:val="20"/>
                <w:lang w:bidi="ar"/>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0.6</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0.9</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1.08</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48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14</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丙级防火门</w:t>
            </w:r>
          </w:p>
        </w:tc>
        <w:tc>
          <w:tcPr>
            <w:tcW w:w="11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BFM0609s</w:t>
            </w:r>
          </w:p>
        </w:tc>
        <w:tc>
          <w:tcPr>
            <w:tcW w:w="7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仿宋"/>
                <w:color w:val="000000"/>
                <w:kern w:val="0"/>
                <w:sz w:val="20"/>
                <w:szCs w:val="20"/>
                <w:lang w:bidi="ar"/>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0.6</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0.9</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平开</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0.54</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钢质</w:t>
            </w:r>
          </w:p>
        </w:tc>
        <w:tc>
          <w:tcPr>
            <w:tcW w:w="11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楼栋防火门</w:t>
            </w:r>
          </w:p>
        </w:tc>
      </w:tr>
      <w:tr>
        <w:tblPrEx>
          <w:tblCellMar>
            <w:top w:w="0" w:type="dxa"/>
            <w:left w:w="108" w:type="dxa"/>
            <w:bottom w:w="0" w:type="dxa"/>
            <w:right w:w="108" w:type="dxa"/>
          </w:tblCellMar>
        </w:tblPrEx>
        <w:trPr>
          <w:trHeight w:val="267" w:hRule="atLeast"/>
          <w:jc w:val="center"/>
        </w:trPr>
        <w:tc>
          <w:tcPr>
            <w:tcW w:w="4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0"/>
                <w:szCs w:val="20"/>
              </w:rPr>
            </w:pPr>
            <w:r>
              <w:rPr>
                <w:rFonts w:hint="eastAsia" w:ascii="仿宋" w:hAnsi="仿宋" w:eastAsia="仿宋" w:cs="仿宋"/>
                <w:color w:val="000000"/>
                <w:sz w:val="20"/>
                <w:szCs w:val="20"/>
              </w:rPr>
              <w:t>15</w:t>
            </w: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5277"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小计</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b/>
                <w:bCs/>
                <w:color w:val="000000"/>
                <w:sz w:val="20"/>
                <w:szCs w:val="20"/>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119.92</w:t>
            </w:r>
          </w:p>
        </w:tc>
        <w:tc>
          <w:tcPr>
            <w:tcW w:w="70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b/>
                <w:bCs/>
                <w:color w:val="000000"/>
                <w:sz w:val="20"/>
                <w:szCs w:val="20"/>
              </w:rPr>
            </w:pPr>
          </w:p>
        </w:tc>
        <w:tc>
          <w:tcPr>
            <w:tcW w:w="119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b/>
                <w:bCs/>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r>
      <w:tr>
        <w:tblPrEx>
          <w:tblCellMar>
            <w:top w:w="0" w:type="dxa"/>
            <w:left w:w="108" w:type="dxa"/>
            <w:bottom w:w="0" w:type="dxa"/>
            <w:right w:w="108" w:type="dxa"/>
          </w:tblCellMar>
        </w:tblPrEx>
        <w:trPr>
          <w:trHeight w:val="599" w:hRule="atLeast"/>
          <w:jc w:val="center"/>
        </w:trPr>
        <w:tc>
          <w:tcPr>
            <w:tcW w:w="6345" w:type="dxa"/>
            <w:gridSpan w:val="8"/>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合计</w:t>
            </w:r>
          </w:p>
        </w:tc>
        <w:tc>
          <w:tcPr>
            <w:tcW w:w="7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694</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1338.61</w:t>
            </w:r>
          </w:p>
        </w:tc>
        <w:tc>
          <w:tcPr>
            <w:tcW w:w="70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0"/>
                <w:szCs w:val="20"/>
              </w:rPr>
            </w:pPr>
          </w:p>
        </w:tc>
        <w:tc>
          <w:tcPr>
            <w:tcW w:w="119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0"/>
                <w:szCs w:val="20"/>
              </w:rPr>
            </w:pPr>
          </w:p>
        </w:tc>
      </w:tr>
    </w:tbl>
    <w:p>
      <w:pPr>
        <w:spacing w:after="120"/>
        <w:rPr>
          <w:rFonts w:ascii="Times New Roman" w:hAnsi="Times New Roman" w:eastAsia="宋体" w:cs="Times New Roman"/>
          <w:szCs w:val="20"/>
        </w:rPr>
      </w:pPr>
    </w:p>
    <w:p>
      <w:pPr>
        <w:tabs>
          <w:tab w:val="left" w:pos="5665"/>
          <w:tab w:val="right" w:pos="8360"/>
        </w:tabs>
        <w:ind w:right="42" w:firstLine="1560" w:firstLineChars="650"/>
        <w:rPr>
          <w:rFonts w:ascii="Calibri" w:hAnsi="Calibri" w:eastAsia="宋体" w:cs="Calibri"/>
          <w:sz w:val="24"/>
          <w:szCs w:val="20"/>
          <w:u w:val="single"/>
        </w:rPr>
      </w:pPr>
      <w:r>
        <w:rPr>
          <w:rFonts w:hint="eastAsia" w:ascii="Calibri" w:hAnsi="Calibri" w:eastAsia="宋体" w:cs="Calibri"/>
          <w:sz w:val="24"/>
          <w:szCs w:val="20"/>
        </w:rPr>
        <w:t>投标人(公章)：</w:t>
      </w:r>
      <w:r>
        <w:rPr>
          <w:rFonts w:hint="eastAsia" w:ascii="Calibri" w:hAnsi="Calibri" w:eastAsia="宋体" w:cs="Calibri"/>
          <w:sz w:val="24"/>
          <w:szCs w:val="20"/>
          <w:u w:val="single"/>
        </w:rPr>
        <w:t xml:space="preserve">                                  </w:t>
      </w:r>
    </w:p>
    <w:p>
      <w:pPr>
        <w:tabs>
          <w:tab w:val="left" w:pos="5665"/>
          <w:tab w:val="right" w:pos="8360"/>
        </w:tabs>
        <w:ind w:right="42"/>
        <w:rPr>
          <w:rFonts w:ascii="Calibri" w:hAnsi="Calibri" w:eastAsia="宋体" w:cs="Calibri"/>
          <w:sz w:val="24"/>
          <w:szCs w:val="20"/>
          <w:u w:val="single"/>
        </w:rPr>
      </w:pPr>
    </w:p>
    <w:p>
      <w:pPr>
        <w:tabs>
          <w:tab w:val="left" w:pos="5665"/>
          <w:tab w:val="right" w:pos="8360"/>
        </w:tabs>
        <w:ind w:right="42" w:firstLine="1560" w:firstLineChars="650"/>
        <w:rPr>
          <w:rFonts w:ascii="Calibri" w:hAnsi="Calibri" w:eastAsia="宋体" w:cs="Calibri"/>
          <w:sz w:val="24"/>
          <w:szCs w:val="20"/>
          <w:u w:val="single"/>
        </w:rPr>
      </w:pPr>
      <w:r>
        <w:rPr>
          <w:rFonts w:hint="eastAsia" w:ascii="Calibri" w:hAnsi="Calibri" w:eastAsia="宋体" w:cs="Calibri"/>
          <w:sz w:val="24"/>
          <w:szCs w:val="20"/>
        </w:rPr>
        <w:t>法定代表人或授权委托人（签字或盖章）：</w:t>
      </w:r>
      <w:r>
        <w:rPr>
          <w:rFonts w:hint="eastAsia" w:ascii="Calibri" w:hAnsi="Calibri" w:eastAsia="宋体" w:cs="Calibri"/>
          <w:sz w:val="24"/>
          <w:szCs w:val="20"/>
          <w:u w:val="single"/>
        </w:rPr>
        <w:t xml:space="preserve">             </w:t>
      </w:r>
    </w:p>
    <w:p>
      <w:pPr>
        <w:tabs>
          <w:tab w:val="left" w:pos="5665"/>
          <w:tab w:val="right" w:pos="8360"/>
        </w:tabs>
        <w:ind w:right="42"/>
        <w:rPr>
          <w:rFonts w:ascii="Calibri" w:hAnsi="Calibri" w:eastAsia="宋体" w:cs="Calibri"/>
          <w:sz w:val="24"/>
          <w:szCs w:val="20"/>
          <w:u w:val="single"/>
        </w:rPr>
      </w:pPr>
    </w:p>
    <w:p>
      <w:pPr>
        <w:spacing w:after="120"/>
        <w:ind w:firstLine="2160" w:firstLineChars="900"/>
        <w:rPr>
          <w:rFonts w:ascii="Times New Roman" w:hAnsi="Times New Roman" w:eastAsia="宋体" w:cs="Times New Roman"/>
          <w:szCs w:val="20"/>
        </w:rPr>
        <w:sectPr>
          <w:pgSz w:w="16838" w:h="11906" w:orient="landscape"/>
          <w:pgMar w:top="1701" w:right="1418" w:bottom="1021" w:left="1134" w:header="851" w:footer="624" w:gutter="0"/>
          <w:cols w:space="720" w:num="1"/>
          <w:docGrid w:linePitch="312" w:charSpace="0"/>
        </w:sectPr>
      </w:pPr>
      <w:r>
        <w:rPr>
          <w:rFonts w:hint="eastAsia" w:ascii="Calibri" w:hAnsi="Calibri" w:eastAsia="宋体" w:cs="Calibri"/>
          <w:sz w:val="24"/>
          <w:szCs w:val="20"/>
        </w:rPr>
        <w:t>日 期：   年   月     日</w:t>
      </w:r>
    </w:p>
    <w:p>
      <w:pPr>
        <w:autoSpaceDE w:val="0"/>
        <w:autoSpaceDN w:val="0"/>
        <w:adjustRightInd w:val="0"/>
        <w:ind w:right="420"/>
        <w:rPr>
          <w:rFonts w:ascii="宋体" w:hAnsi="宋体" w:eastAsia="宋体" w:cs="宋体"/>
          <w:color w:val="000000"/>
          <w:kern w:val="0"/>
          <w:szCs w:val="21"/>
        </w:rPr>
      </w:pPr>
    </w:p>
    <w:sectPr>
      <w:pgSz w:w="16838" w:h="11906" w:orient="landscape"/>
      <w:pgMar w:top="1701" w:right="1418" w:bottom="1021" w:left="113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ambria Math">
    <w:panose1 w:val="02040503050406030204"/>
    <w:charset w:val="00"/>
    <w:family w:val="roman"/>
    <w:pitch w:val="default"/>
    <w:sig w:usb0="E00002FF" w:usb1="42002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MingLiU">
    <w:panose1 w:val="02020509000000000000"/>
    <w:charset w:val="88"/>
    <w:family w:val="modern"/>
    <w:pitch w:val="default"/>
    <w:sig w:usb0="A00002FF" w:usb1="28CFFCFA" w:usb2="00000016" w:usb3="00000000" w:csb0="00100001" w:csb1="00000000"/>
  </w:font>
  <w:font w:name="Segoe UI Emoji">
    <w:altName w:val="Segoe UI"/>
    <w:panose1 w:val="020B0502040204020203"/>
    <w:charset w:val="00"/>
    <w:family w:val="swiss"/>
    <w:pitch w:val="default"/>
    <w:sig w:usb0="00000000" w:usb1="00000000" w:usb2="00000000" w:usb3="00000000" w:csb0="00000001" w:csb1="00000000"/>
  </w:font>
  <w:font w:name="TimesNewRomanPSMT">
    <w:altName w:val="宋体"/>
    <w:panose1 w:val="00000000000000000000"/>
    <w:charset w:val="00"/>
    <w:family w:val="roman"/>
    <w:pitch w:val="default"/>
    <w:sig w:usb0="00000000" w:usb1="00000000" w:usb2="00000010" w:usb3="00000000" w:csb0="00040001" w:csb1="0000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57785" cy="131445"/>
              <wp:effectExtent l="0" t="0" r="0" b="1905"/>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pStyle w:val="17"/>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6192;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PXAJWD1AQAAwwMAAA4AAABkcnMvZTJvRG9jLnhtbK1TS27bMBDdF+gd&#10;CO5rWW7cBILlIE3gokD6AZIegKIoi6jEIYa0JfcA7Q26yqb7nsvnyJCS3LTdFd0Qo+HM47w3T6vL&#10;vm3YXqHTYHKezuacKSOh1Gab80/3mxcXnDkvTCkaMCrnB+X45fr5s1VnM7WAGppSISMQ47LO5rz2&#10;3mZJ4mStWuFmYJWhywqwFZ4+cZuUKDpCb5tkMZ+/SjrA0iJI5Rxlb4ZLvo74VaWk/1BVTnnW5Jxm&#10;8/HEeBbhTNYrkW1R2FrLcQzxD1O0Qht69AR1I7xgO9R/QbVaIjio/ExCm0BVaakiB2KTzv9gc1cL&#10;qyIXEsfZk0zu/8HK9/uPyHRJu1twZkRLOzp+/3Z8+Hn88ZVRjgTqrMuo7s5Spe9fQ0/FkayztyA/&#10;O2bguhZmq64QoauVKGnANHQmT1oHHBdAiu4dlPSQ2HmIQH2FbVCP9GCETos6nJajes8kJZfn5xdL&#10;ziTdpC/Ts7NlfEBkU69F598oaFkIco60+ogt9rfOh1lENpWEpwxsdNPE9TfmtwQVDhkV/TN2ByZh&#10;+IGG74t+VKaA8kCcEAZv0b9AQQ34hbOOfJVzQ8bnrHlrSJVgwSnAKSimQBhJjTn3nA3htR+surOo&#10;tzXhTrpfkXIbHWmFwYYZRr3JKZHt6OpgxaffserXv7d+B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L3UTQAAAAAgEAAA8AAAAAAAAAAQAgAAAAIgAAAGRycy9kb3ducmV2LnhtbFBLAQIUABQAAAAI&#10;AIdO4kD1wCVg9QEAAMMDAAAOAAAAAAAAAAEAIAAAAB8BAABkcnMvZTJvRG9jLnhtbFBLBQYAAAAA&#10;BgAGAFkBAACGBQ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7"/>
      </w:rPr>
    </w:pPr>
    <w:r>
      <w:fldChar w:fldCharType="begin"/>
    </w:r>
    <w:r>
      <w:rPr>
        <w:rStyle w:val="27"/>
      </w:rPr>
      <w:instrText xml:space="preserve">PAGE  </w:instrText>
    </w:r>
    <w:r>
      <w:fldChar w:fldCharType="separate"/>
    </w:r>
    <w:r>
      <w:rPr>
        <w:vanish/>
      </w:rPr>
      <w:t xml:space="preserve"> </w:t>
    </w:r>
    <w:r>
      <w:fldChar w:fldCharType="end"/>
    </w:r>
  </w:p>
  <w:p>
    <w:pPr>
      <w:pStyle w:val="1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firstLine="360"/>
      <w:jc w:val="center"/>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57785" cy="131445"/>
              <wp:effectExtent l="0" t="0" r="0" b="1905"/>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pStyle w:val="17"/>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7216;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J9a24f0AQAAwwMAAA4AAABkcnMvZTJvRG9jLnhtbK1TzY7TMBC+I/EO&#10;lu80zbJlV1HT1bKrIqTlR1p4AMdxGovYY43dJuUB4A047YU7z9XnYOw0ZYEb4mKNx+PP833zeXk1&#10;mI7tFHoNtuT5bM6ZshJqbTcl//hh/eySMx+ErUUHVpV8rzy/Wj19suxdoc6gha5WyAjE+qJ3JW9D&#10;cEWWedkqI/wMnLJ02AAaEWiLm6xG0RO66bKz+fxF1gPWDkEq7yl7Ox7yVcJvGiXDu6bxKrCu5NRb&#10;SCumtYprtlqKYoPCtVoe2xD/0IUR2tKjJ6hbEQTbov4LymiJ4KEJMwkmg6bRUiUOxCaf/8HmvhVO&#10;JS4kjncnmfz/g5Vvd++R6Zpml3NmhaEZHb59PTz8OHz/wihHAvXOF1R376gyDC9hoOJE1rs7kJ88&#10;s3DTCrtR14jQt0rU1GC6mT26OuL4CFL1b6Cmh8Q2QAIaGjRRPdKDEToNan8ajhoCk5RcXFxcLjiT&#10;dJI/z8/PF7G1TBTTXYc+vFJgWAxKjjT6hC12dz6MpVNJfMrCWnddGn9nf0sQ5phRyT/H25FJbH6k&#10;EYZqOCpTQb0nTgijt+gvUNACfuasJ1+V3JLxOeteW1IlWnAKcAqqKRBW0sWSB87G8CaMVt061JuW&#10;cCfdr0m5tU60YmNjDyRH3JBTkjBHV0crPt6nql9/b/U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4vdRNAAAAACAQAADwAAAAAAAAABACAAAAAiAAAAZHJzL2Rvd25yZXYueG1sUEsBAhQAFAAAAAgA&#10;h07iQJ9a24f0AQAAwwMAAA4AAAAAAAAAAQAgAAAAHwEAAGRycy9lMm9Eb2MueG1sUEsFBgAAAAAG&#10;AAYAWQEAAIUFA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firstLine="360"/>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0490" cy="262890"/>
              <wp:effectExtent l="0" t="0" r="3810" b="3810"/>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110490" cy="262890"/>
                      </a:xfrm>
                      <a:prstGeom prst="rect">
                        <a:avLst/>
                      </a:prstGeom>
                      <a:noFill/>
                      <a:ln>
                        <a:noFill/>
                      </a:ln>
                      <a:effectLst/>
                    </wps:spPr>
                    <wps:txbx>
                      <w:txbxContent>
                        <w:p>
                          <w:pPr>
                            <w:pStyle w:val="17"/>
                            <w:rPr>
                              <w:rStyle w:val="27"/>
                            </w:rPr>
                          </w:pPr>
                          <w:r>
                            <w:rPr>
                              <w:rStyle w:val="27"/>
                            </w:rPr>
                            <w:fldChar w:fldCharType="begin"/>
                          </w:r>
                          <w:r>
                            <w:rPr>
                              <w:rStyle w:val="27"/>
                            </w:rPr>
                            <w:instrText xml:space="preserve">PAGE  </w:instrText>
                          </w:r>
                          <w:r>
                            <w:rPr>
                              <w:rStyle w:val="27"/>
                            </w:rPr>
                            <w:fldChar w:fldCharType="separate"/>
                          </w:r>
                          <w:r>
                            <w:rPr>
                              <w:rStyle w:val="27"/>
                            </w:rPr>
                            <w:t>3</w:t>
                          </w:r>
                          <w:r>
                            <w:rPr>
                              <w:rStyle w:val="27"/>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20.7pt;width:8.7pt;mso-position-horizontal:center;mso-position-horizontal-relative:margin;mso-wrap-style:none;z-index:251658240;mso-width-relative:page;mso-height-relative:page;" filled="f" stroked="f" coordsize="21600,21600" o:gfxdata="UEsDBAoAAAAAAIdO4kAAAAAAAAAAAAAAAAAEAAAAZHJzL1BLAwQUAAAACACHTuJA1TYZf9EAAAAD&#10;AQAADwAAAGRycy9kb3ducmV2LnhtbE2PwWrDMBBE74X8g9hAb43sYprgWs4h0EtvTUuht421sUyl&#10;lZEUx/77Kr20l4Vhhpm3zX52VkwU4uBZQbkpQBB3Xg/cK/h4f3nYgYgJWaP1TAoWirBvV3cN1tpf&#10;+Y2mY+pFLuFYowKT0lhLGTtDDuPGj8TZO/vgMGUZeqkDXnO5s/KxKJ6kw4HzgsGRDoa67+PFKdjO&#10;n57GSAf6Ok9dMMOys6+LUvfrsngGkWhOf2G44Wd0aDPTyV9YR2EV5EfS77152wrESUFVViDbRv5n&#10;b38AUEsDBBQAAAAIAIdO4kBw7iQg8AEAAMQDAAAOAAAAZHJzL2Uyb0RvYy54bWytU82O0zAQviPx&#10;DpbvNGmFVkvUdLXsqghp+ZEWHsBxnMQi9lhjt0l5AHgDTly481x9DsZO013ghrhYk/HMN/N9/rK+&#10;Gk3P9gq9Blvy5SLnTFkJtbZtyT9+2D675MwHYWvRg1UlPyjPrzZPn6wHV6gVdNDXChmBWF8MruRd&#10;CK7IMi87ZYRfgFOWLhtAIwJ9YpvVKAZCN322yvOLbACsHYJU3lP2drrkm4TfNEqGd03jVWB9yWm3&#10;kE5MZxXPbLMWRYvCdVqe1hD/sIUR2tLQM9StCILtUP8FZbRE8NCEhQSTQdNoqRIHYrPM/2Bz3wmn&#10;EhcSx7uzTP7/wcq3+/fIdE1vR/JYYeiNjt++Hr//PP74wihHAg3OF1R376gyjC9hpOJE1rs7kJ88&#10;s3DTCduqa0QYOiVqWnAZO7NHrROOjyDV8AZqGiR2ARLQ2KCJ6pEejNBpk8P5cdQYmIwjl/nzF3Qj&#10;6Wp1sbqkOE4Qxdzs0IdXCgyLQcmR3j6Bi/2dD1PpXBJnWdjqvqe8KHr7W4Iwp4xKBjp1Rypx+4lH&#10;GKuRemOygvpApBAmc9HPQEEH+JmzgYxVckvO56x/bUmW6ME5wDmo5kBYSY0lD5xN4U2YvLpzqNuO&#10;cGfhr0m6rU60HnY4CU5WScKcbB29+Pg7VT38fJ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1TYZ&#10;f9EAAAADAQAADwAAAAAAAAABACAAAAAiAAAAZHJzL2Rvd25yZXYueG1sUEsBAhQAFAAAAAgAh07i&#10;QHDuJCDwAQAAxAMAAA4AAAAAAAAAAQAgAAAAIAEAAGRycy9lMm9Eb2MueG1sUEsFBgAAAAAGAAYA&#10;WQEAAIIFAAAAAA==&#10;">
              <v:fill on="f" focussize="0,0"/>
              <v:stroke on="f"/>
              <v:imagedata o:title=""/>
              <o:lock v:ext="edit" aspectratio="f"/>
              <v:textbox inset="0mm,0mm,0mm,0mm" style="mso-fit-shape-to-text:t;">
                <w:txbxContent>
                  <w:p>
                    <w:pPr>
                      <w:pStyle w:val="17"/>
                      <w:rPr>
                        <w:rStyle w:val="27"/>
                      </w:rPr>
                    </w:pPr>
                    <w:r>
                      <w:rPr>
                        <w:rStyle w:val="27"/>
                      </w:rPr>
                      <w:fldChar w:fldCharType="begin"/>
                    </w:r>
                    <w:r>
                      <w:rPr>
                        <w:rStyle w:val="27"/>
                      </w:rPr>
                      <w:instrText xml:space="preserve">PAGE  </w:instrText>
                    </w:r>
                    <w:r>
                      <w:rPr>
                        <w:rStyle w:val="27"/>
                      </w:rPr>
                      <w:fldChar w:fldCharType="separate"/>
                    </w:r>
                    <w:r>
                      <w:rPr>
                        <w:rStyle w:val="27"/>
                      </w:rPr>
                      <w:t>3</w:t>
                    </w:r>
                    <w:r>
                      <w:rPr>
                        <w:rStyle w:val="27"/>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31445"/>
              <wp:effectExtent l="0" t="0" r="0" b="1905"/>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pPr>
                            <w:pStyle w:val="17"/>
                          </w:pPr>
                          <w:r>
                            <w:fldChar w:fldCharType="begin"/>
                          </w:r>
                          <w:r>
                            <w:instrText xml:space="preserve"> PAGE  \* MERGEFORMAT </w:instrText>
                          </w:r>
                          <w:r>
                            <w:fldChar w:fldCharType="separate"/>
                          </w:r>
                          <w:r>
                            <w:t>21</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336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HrxoD0AQAAwgMAAA4AAABkcnMvZTJvRG9jLnhtbK1TS27bMBDdF+gd&#10;CO5rWYlT1ILlIE3gokD6AdIcgKIoi6jEIYa0JfcA7Q26yqb7nsvn6JCSnLTdFd0QI3Lmzbw3T6vL&#10;vm3YXqHTYHKezuacKSOh1Gab8/tPmxevOHNemFI0YFTOD8rxy/XzZ6vOZuoMamhKhYxAjMs6m/Pa&#10;e5sliZO1aoWbgVWGHivAVnj6xG1SougIvW2Ss/n8ZdIBlhZBKufo9mZ45OuIX1VK+g9V5ZRnTc5p&#10;Nh9PjGcRzmS9EtkWha21HMcQ/zBFK7ShpieoG+EF26H+C6rVEsFB5WcS2gSqSksVORCbdP4Hm7ta&#10;WBW5kDjOnmRy/w9Wvt9/RKbLnC85M6KlFR2/fzs+/Dz++MqWQZ7Ouoyy7izl+f419LTmSNXZW5Cf&#10;HTNwXQuzVVeI0NVKlDReGiqTJ6UDjgsgRfcOSuojdh4iUF9hG7QjNRih05oOp9Wo3jMZWqaL5fkF&#10;Z5Ke0vN0sbiIHUQ2FVt0/o2CloUg50ibj+Bif+t8GEZkU0roZWCjmyZuvzG/XVDicKOifcbqQCVM&#10;P/DwfdGP0hRQHogUwmAt+hUoqAG/cNaRrXJuyPecNW8NyRIcOAU4BcUUCCOpMOeesyG89oNTdxb1&#10;tibcSfgrkm6jI60w2DDDKDgZJbIdTR2c+PQ7Zj3+eu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V+SdAAAAADAQAADwAAAAAAAAABACAAAAAiAAAAZHJzL2Rvd25yZXYueG1sUEsBAhQAFAAAAAgA&#10;h07iQMHrxoD0AQAAwgMAAA4AAAAAAAAAAQAgAAAAHwEAAGRycy9lMm9Eb2MueG1sUEsFBgAAAAAG&#10;AAYAWQEAAIUFA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outside" w:y="1"/>
      <w:rPr>
        <w:rStyle w:val="27"/>
      </w:rPr>
    </w:pPr>
    <w:r>
      <w:rPr>
        <w:rStyle w:val="27"/>
      </w:rPr>
      <w:fldChar w:fldCharType="begin"/>
    </w:r>
    <w:r>
      <w:rPr>
        <w:rStyle w:val="27"/>
      </w:rPr>
      <w:instrText xml:space="preserve">PAGE  </w:instrText>
    </w:r>
    <w:r>
      <w:rPr>
        <w:rStyle w:val="27"/>
      </w:rPr>
      <w:fldChar w:fldCharType="separate"/>
    </w:r>
    <w:r>
      <w:rPr>
        <w:rStyle w:val="27"/>
        <w:vanish/>
      </w:rPr>
      <w:t xml:space="preserve"> </w:t>
    </w:r>
    <w:r>
      <w:rPr>
        <w:rStyle w:val="27"/>
      </w:rPr>
      <w:fldChar w:fldCharType="end"/>
    </w:r>
  </w:p>
  <w:p>
    <w:pPr>
      <w:pStyle w:val="17"/>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1905"/>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pPr>
                            <w:pStyle w:val="17"/>
                            <w:jc w:val="center"/>
                          </w:pPr>
                          <w:r>
                            <w:fldChar w:fldCharType="begin"/>
                          </w:r>
                          <w:r>
                            <w:instrText xml:space="preserve">PAGE   \* MERGEFORMAT</w:instrText>
                          </w:r>
                          <w:r>
                            <w:fldChar w:fldCharType="separate"/>
                          </w:r>
                          <w:r>
                            <w:rPr>
                              <w:lang w:val="zh-CN"/>
                            </w:rPr>
                            <w:t>49</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MWmG70AQAAwgMAAA4AAABkcnMvZTJvRG9jLnhtbK1TzW7UMBC+I/EO&#10;lu9sNu0WlWizVWm1CKn8SIUHcBwnsUg81ti7yfIA8AaceuHOc+1zMHaSpcANcbEm9sw3833zZX01&#10;dC3bK3QaTM7TxZIzZSSU2tQ5//hh++ySM+eFKUULRuX8oBy/2jx9su5tps6ggbZUyAjEuKy3OW+8&#10;t1mSONmoTrgFWGXosQLshKdPrJMSRU/oXZucLZfPkx6wtAhSOUe3t+Mj30T8qlLSv6sqpzxrc06z&#10;+XhiPItwJpu1yGoUttFyGkP8wxSd0IaanqBuhRdsh/ovqE5LBAeVX0joEqgqLVXkQGzS5R9s7hth&#10;VeRC4jh7ksn9P1j5dv8emS5zTosyoqMVHb99PT78OH7/wi6DPL11GWXdW8rzw0sYaM2RqrN3ID85&#10;ZuCmEaZW14jQN0qUNF4aKpNHpSOOCyBF/wZK6iN2HiLQUGEXtCM1GKHTmg6n1ajBMxlapqsX5xec&#10;SXpKz9PV6iJ2ENlcbNH5Vwo6FoKcI20+gov9nfNhGJHNKaGXga1u27j91vx2QYnjjYr2maoDlTD9&#10;yMMPxTBJU0B5IFIIo7XoV6CgAfzMWU+2yrkh33PWvjYkS3DgHOAcFHMgjKTCnHvOxvDGj07dWdR1&#10;Q7iz8Nck3VZHWmGwcYZJcDJKZDuZOjjx8XfM+vXrbX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V+SdAAAAADAQAADwAAAAAAAAABACAAAAAiAAAAZHJzL2Rvd25yZXYueG1sUEsBAhQAFAAAAAgA&#10;h07iQKMWmG70AQAAwgMAAA4AAAAAAAAAAQAgAAAAHwEAAGRycy9lMm9Eb2MueG1sUEsFBgAAAAAG&#10;AAYAWQEAAIUFAAAAAA==&#10;">
              <v:fill on="f" focussize="0,0"/>
              <v:stroke on="f"/>
              <v:imagedata o:title=""/>
              <o:lock v:ext="edit" aspectratio="f"/>
              <v:textbox inset="0mm,0mm,0mm,0mm" style="mso-fit-shape-to-text:t;">
                <w:txbxContent>
                  <w:p>
                    <w:pPr>
                      <w:pStyle w:val="17"/>
                      <w:jc w:val="center"/>
                    </w:pPr>
                    <w:r>
                      <w:fldChar w:fldCharType="begin"/>
                    </w:r>
                    <w:r>
                      <w:instrText xml:space="preserve">PAGE   \* MERGEFORMAT</w:instrText>
                    </w:r>
                    <w:r>
                      <w:fldChar w:fldCharType="separate"/>
                    </w:r>
                    <w:r>
                      <w:rPr>
                        <w:lang w:val="zh-CN"/>
                      </w:rPr>
                      <w:t>49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7"/>
      </w:rPr>
    </w:pPr>
    <w:r>
      <w:fldChar w:fldCharType="begin"/>
    </w:r>
    <w:r>
      <w:rPr>
        <w:rStyle w:val="27"/>
      </w:rPr>
      <w:instrText xml:space="preserve">PAGE  </w:instrText>
    </w:r>
    <w:r>
      <w:fldChar w:fldCharType="separate"/>
    </w:r>
    <w:r>
      <w:t xml:space="preserve"> </w:t>
    </w:r>
    <w:r>
      <w:fldChar w:fldCharType="end"/>
    </w:r>
  </w:p>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i/>
      </w:rPr>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31EF"/>
    <w:multiLevelType w:val="multilevel"/>
    <w:tmpl w:val="012631E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DC05896"/>
    <w:multiLevelType w:val="multilevel"/>
    <w:tmpl w:val="2DC05896"/>
    <w:lvl w:ilvl="0" w:tentative="0">
      <w:start w:val="1"/>
      <w:numFmt w:val="japaneseCounting"/>
      <w:lvlText w:val="第%1章"/>
      <w:lvlJc w:val="left"/>
      <w:pPr>
        <w:tabs>
          <w:tab w:val="left" w:pos="0"/>
        </w:tabs>
        <w:ind w:left="7209" w:hanging="840"/>
      </w:pPr>
      <w:rPr>
        <w:rFonts w:hint="default"/>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2">
    <w:nsid w:val="6CA83EA0"/>
    <w:multiLevelType w:val="multilevel"/>
    <w:tmpl w:val="6CA83EA0"/>
    <w:lvl w:ilvl="0" w:tentative="0">
      <w:start w:val="1"/>
      <w:numFmt w:val="japaneseCounting"/>
      <w:lvlText w:val="第%1章"/>
      <w:lvlJc w:val="left"/>
      <w:pPr>
        <w:tabs>
          <w:tab w:val="left" w:pos="3690"/>
        </w:tabs>
        <w:ind w:left="7763" w:hanging="1668"/>
      </w:pPr>
      <w:rPr>
        <w:rFonts w:hint="default"/>
      </w:rPr>
    </w:lvl>
    <w:lvl w:ilvl="1" w:tentative="0">
      <w:start w:val="1"/>
      <w:numFmt w:val="lowerLetter"/>
      <w:lvlText w:val="%2)"/>
      <w:lvlJc w:val="left"/>
      <w:pPr>
        <w:tabs>
          <w:tab w:val="left" w:pos="0"/>
        </w:tabs>
        <w:ind w:left="3245" w:hanging="420"/>
      </w:pPr>
    </w:lvl>
    <w:lvl w:ilvl="2" w:tentative="0">
      <w:start w:val="1"/>
      <w:numFmt w:val="lowerRoman"/>
      <w:lvlText w:val="%3."/>
      <w:lvlJc w:val="right"/>
      <w:pPr>
        <w:tabs>
          <w:tab w:val="left" w:pos="0"/>
        </w:tabs>
        <w:ind w:left="3665" w:hanging="420"/>
      </w:pPr>
    </w:lvl>
    <w:lvl w:ilvl="3" w:tentative="0">
      <w:start w:val="1"/>
      <w:numFmt w:val="decimal"/>
      <w:lvlText w:val="%4."/>
      <w:lvlJc w:val="left"/>
      <w:pPr>
        <w:tabs>
          <w:tab w:val="left" w:pos="0"/>
        </w:tabs>
        <w:ind w:left="4085" w:hanging="420"/>
      </w:pPr>
    </w:lvl>
    <w:lvl w:ilvl="4" w:tentative="0">
      <w:start w:val="1"/>
      <w:numFmt w:val="lowerLetter"/>
      <w:lvlText w:val="%5)"/>
      <w:lvlJc w:val="left"/>
      <w:pPr>
        <w:tabs>
          <w:tab w:val="left" w:pos="0"/>
        </w:tabs>
        <w:ind w:left="4505" w:hanging="420"/>
      </w:pPr>
    </w:lvl>
    <w:lvl w:ilvl="5" w:tentative="0">
      <w:start w:val="1"/>
      <w:numFmt w:val="lowerRoman"/>
      <w:lvlText w:val="%6."/>
      <w:lvlJc w:val="right"/>
      <w:pPr>
        <w:tabs>
          <w:tab w:val="left" w:pos="0"/>
        </w:tabs>
        <w:ind w:left="4925" w:hanging="420"/>
      </w:pPr>
    </w:lvl>
    <w:lvl w:ilvl="6" w:tentative="0">
      <w:start w:val="1"/>
      <w:numFmt w:val="decimal"/>
      <w:lvlText w:val="%7."/>
      <w:lvlJc w:val="left"/>
      <w:pPr>
        <w:tabs>
          <w:tab w:val="left" w:pos="0"/>
        </w:tabs>
        <w:ind w:left="5345" w:hanging="420"/>
      </w:pPr>
    </w:lvl>
    <w:lvl w:ilvl="7" w:tentative="0">
      <w:start w:val="1"/>
      <w:numFmt w:val="lowerLetter"/>
      <w:lvlText w:val="%8)"/>
      <w:lvlJc w:val="left"/>
      <w:pPr>
        <w:tabs>
          <w:tab w:val="left" w:pos="0"/>
        </w:tabs>
        <w:ind w:left="5765" w:hanging="420"/>
      </w:pPr>
    </w:lvl>
    <w:lvl w:ilvl="8" w:tentative="0">
      <w:start w:val="1"/>
      <w:numFmt w:val="lowerRoman"/>
      <w:lvlText w:val="%9."/>
      <w:lvlJc w:val="right"/>
      <w:pPr>
        <w:tabs>
          <w:tab w:val="left" w:pos="0"/>
        </w:tabs>
        <w:ind w:left="6185"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B4C"/>
    <w:rsid w:val="000501CD"/>
    <w:rsid w:val="00062953"/>
    <w:rsid w:val="000923D0"/>
    <w:rsid w:val="00093193"/>
    <w:rsid w:val="00093FBD"/>
    <w:rsid w:val="000B2D72"/>
    <w:rsid w:val="000D28FF"/>
    <w:rsid w:val="000D4048"/>
    <w:rsid w:val="000D40C7"/>
    <w:rsid w:val="000E080D"/>
    <w:rsid w:val="00123EED"/>
    <w:rsid w:val="001313C0"/>
    <w:rsid w:val="00181935"/>
    <w:rsid w:val="001974A7"/>
    <w:rsid w:val="001A6CC3"/>
    <w:rsid w:val="001B0B4C"/>
    <w:rsid w:val="001E111E"/>
    <w:rsid w:val="001E67C8"/>
    <w:rsid w:val="00205514"/>
    <w:rsid w:val="00232AB6"/>
    <w:rsid w:val="00250234"/>
    <w:rsid w:val="002965E2"/>
    <w:rsid w:val="002A55DB"/>
    <w:rsid w:val="002C00F7"/>
    <w:rsid w:val="002D3CBF"/>
    <w:rsid w:val="00305610"/>
    <w:rsid w:val="00325CC0"/>
    <w:rsid w:val="00336648"/>
    <w:rsid w:val="00336E3C"/>
    <w:rsid w:val="00422BF8"/>
    <w:rsid w:val="00441106"/>
    <w:rsid w:val="004537AD"/>
    <w:rsid w:val="0046689E"/>
    <w:rsid w:val="004D553C"/>
    <w:rsid w:val="00514DDB"/>
    <w:rsid w:val="005F7F4C"/>
    <w:rsid w:val="00644804"/>
    <w:rsid w:val="00650F39"/>
    <w:rsid w:val="00667C89"/>
    <w:rsid w:val="00690350"/>
    <w:rsid w:val="00691557"/>
    <w:rsid w:val="006C6B37"/>
    <w:rsid w:val="006E29C9"/>
    <w:rsid w:val="00731E06"/>
    <w:rsid w:val="007673AE"/>
    <w:rsid w:val="00780719"/>
    <w:rsid w:val="007B52D5"/>
    <w:rsid w:val="007F23C4"/>
    <w:rsid w:val="00835F7A"/>
    <w:rsid w:val="00897714"/>
    <w:rsid w:val="00907D1B"/>
    <w:rsid w:val="00923384"/>
    <w:rsid w:val="009C0087"/>
    <w:rsid w:val="009D25CC"/>
    <w:rsid w:val="00A430D8"/>
    <w:rsid w:val="00A802E3"/>
    <w:rsid w:val="00A839AA"/>
    <w:rsid w:val="00AC0471"/>
    <w:rsid w:val="00AC6B93"/>
    <w:rsid w:val="00B762AA"/>
    <w:rsid w:val="00C15B7D"/>
    <w:rsid w:val="00C25742"/>
    <w:rsid w:val="00C26694"/>
    <w:rsid w:val="00C4389B"/>
    <w:rsid w:val="00C70169"/>
    <w:rsid w:val="00C70288"/>
    <w:rsid w:val="00C94934"/>
    <w:rsid w:val="00D00C25"/>
    <w:rsid w:val="00D0299F"/>
    <w:rsid w:val="00D0476D"/>
    <w:rsid w:val="00D20311"/>
    <w:rsid w:val="00D375D0"/>
    <w:rsid w:val="00D51082"/>
    <w:rsid w:val="00D911C7"/>
    <w:rsid w:val="00DF5444"/>
    <w:rsid w:val="00E00D8F"/>
    <w:rsid w:val="00E02E24"/>
    <w:rsid w:val="00E05140"/>
    <w:rsid w:val="00E778C4"/>
    <w:rsid w:val="00E8126F"/>
    <w:rsid w:val="00E91D11"/>
    <w:rsid w:val="00EC3A7A"/>
    <w:rsid w:val="00F21A85"/>
    <w:rsid w:val="00F24B11"/>
    <w:rsid w:val="00F315C8"/>
    <w:rsid w:val="00F34958"/>
    <w:rsid w:val="00F367B9"/>
    <w:rsid w:val="00F75DD8"/>
    <w:rsid w:val="00FC7124"/>
    <w:rsid w:val="00FD3E8E"/>
    <w:rsid w:val="06422FD7"/>
    <w:rsid w:val="71013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9" w:name="heading 5"/>
    <w:lsdException w:qFormat="1" w:uiPriority="9"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2"/>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43"/>
    <w:qFormat/>
    <w:uiPriority w:val="0"/>
    <w:pPr>
      <w:keepNext/>
      <w:keepLines/>
      <w:spacing w:before="260" w:after="260" w:line="415" w:lineRule="auto"/>
      <w:jc w:val="left"/>
      <w:outlineLvl w:val="1"/>
    </w:pPr>
    <w:rPr>
      <w:rFonts w:ascii="Arial" w:hAnsi="Arial" w:eastAsia="宋体" w:cs="Times New Roman"/>
      <w:b/>
      <w:bCs/>
      <w:kern w:val="0"/>
      <w:sz w:val="32"/>
      <w:szCs w:val="44"/>
    </w:rPr>
  </w:style>
  <w:style w:type="paragraph" w:styleId="4">
    <w:name w:val="heading 3"/>
    <w:basedOn w:val="1"/>
    <w:next w:val="1"/>
    <w:link w:val="48"/>
    <w:qFormat/>
    <w:uiPriority w:val="9"/>
    <w:pPr>
      <w:keepNext/>
      <w:keepLines/>
      <w:spacing w:before="20" w:after="20" w:line="415" w:lineRule="auto"/>
      <w:outlineLvl w:val="2"/>
    </w:pPr>
    <w:rPr>
      <w:rFonts w:ascii="Times New Roman" w:hAnsi="Times New Roman" w:eastAsia="Cambria Math" w:cs="Times New Roman"/>
      <w:b/>
      <w:sz w:val="24"/>
      <w:szCs w:val="20"/>
    </w:rPr>
  </w:style>
  <w:style w:type="paragraph" w:styleId="5">
    <w:name w:val="heading 4"/>
    <w:basedOn w:val="1"/>
    <w:next w:val="6"/>
    <w:link w:val="45"/>
    <w:qFormat/>
    <w:uiPriority w:val="0"/>
    <w:pPr>
      <w:spacing w:before="280" w:after="290" w:line="377" w:lineRule="auto"/>
      <w:outlineLvl w:val="3"/>
    </w:pPr>
    <w:rPr>
      <w:rFonts w:ascii="Arial" w:hAnsi="Arial" w:eastAsia="黑体" w:cs="Times New Roman"/>
      <w:b/>
      <w:bCs/>
      <w:kern w:val="0"/>
      <w:sz w:val="28"/>
      <w:szCs w:val="28"/>
    </w:rPr>
  </w:style>
  <w:style w:type="paragraph" w:styleId="7">
    <w:name w:val="heading 7"/>
    <w:basedOn w:val="1"/>
    <w:next w:val="1"/>
    <w:link w:val="46"/>
    <w:qFormat/>
    <w:uiPriority w:val="0"/>
    <w:pPr>
      <w:keepNext/>
      <w:keepLines/>
      <w:spacing w:before="240" w:after="64" w:line="320" w:lineRule="auto"/>
      <w:outlineLvl w:val="6"/>
    </w:pPr>
    <w:rPr>
      <w:rFonts w:ascii="Times New Roman" w:hAnsi="Times New Roman" w:eastAsia="宋体" w:cs="Times New Roman"/>
      <w:b/>
      <w:bCs/>
      <w:sz w:val="24"/>
      <w:szCs w:val="24"/>
    </w:rPr>
  </w:style>
  <w:style w:type="character" w:default="1" w:styleId="25">
    <w:name w:val="Default Paragraph Font"/>
    <w:semiHidden/>
    <w:unhideWhenUsed/>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49"/>
    <w:qFormat/>
    <w:uiPriority w:val="0"/>
    <w:pPr>
      <w:ind w:firstLine="420"/>
    </w:pPr>
    <w:rPr>
      <w:rFonts w:ascii="Times New Roman" w:hAnsi="Times New Roman" w:eastAsia="宋体" w:cs="Times New Roman"/>
      <w:b/>
      <w:sz w:val="24"/>
      <w:szCs w:val="20"/>
    </w:rPr>
  </w:style>
  <w:style w:type="paragraph" w:styleId="8">
    <w:name w:val="toc 7"/>
    <w:basedOn w:val="1"/>
    <w:next w:val="1"/>
    <w:qFormat/>
    <w:uiPriority w:val="0"/>
    <w:pPr>
      <w:ind w:left="2520" w:leftChars="1200"/>
    </w:pPr>
    <w:rPr>
      <w:rFonts w:ascii="Times New Roman" w:hAnsi="Times New Roman" w:eastAsia="宋体" w:cs="Times New Roman"/>
      <w:szCs w:val="20"/>
    </w:rPr>
  </w:style>
  <w:style w:type="paragraph" w:styleId="9">
    <w:name w:val="table of authorities"/>
    <w:basedOn w:val="1"/>
    <w:next w:val="1"/>
    <w:qFormat/>
    <w:uiPriority w:val="99"/>
    <w:pPr>
      <w:ind w:left="420" w:leftChars="200"/>
    </w:pPr>
    <w:rPr>
      <w:rFonts w:ascii="Times New Roman" w:hAnsi="Times New Roman" w:eastAsia="宋体" w:cs="Times New Roman"/>
    </w:rPr>
  </w:style>
  <w:style w:type="paragraph" w:styleId="10">
    <w:name w:val="annotation text"/>
    <w:basedOn w:val="1"/>
    <w:link w:val="50"/>
    <w:unhideWhenUsed/>
    <w:qFormat/>
    <w:uiPriority w:val="99"/>
    <w:pPr>
      <w:jc w:val="left"/>
    </w:pPr>
    <w:rPr>
      <w:rFonts w:ascii="Times New Roman" w:hAnsi="Times New Roman" w:eastAsia="楷体_GB2312" w:cs="Times New Roman"/>
    </w:rPr>
  </w:style>
  <w:style w:type="paragraph" w:styleId="11">
    <w:name w:val="Body Text"/>
    <w:basedOn w:val="1"/>
    <w:link w:val="47"/>
    <w:unhideWhenUsed/>
    <w:qFormat/>
    <w:uiPriority w:val="99"/>
    <w:pPr>
      <w:spacing w:after="120"/>
    </w:pPr>
    <w:rPr>
      <w:rFonts w:ascii="Times New Roman" w:hAnsi="Times New Roman" w:eastAsia="宋体" w:cs="Times New Roman"/>
      <w:szCs w:val="20"/>
    </w:rPr>
  </w:style>
  <w:style w:type="paragraph" w:styleId="12">
    <w:name w:val="Body Text Indent"/>
    <w:basedOn w:val="1"/>
    <w:link w:val="52"/>
    <w:unhideWhenUsed/>
    <w:qFormat/>
    <w:uiPriority w:val="99"/>
    <w:pPr>
      <w:spacing w:after="120"/>
      <w:ind w:left="420" w:leftChars="200"/>
    </w:pPr>
    <w:rPr>
      <w:rFonts w:ascii="Times New Roman" w:hAnsi="Times New Roman" w:eastAsia="楷体_GB2312" w:cs="Times New Roman"/>
    </w:rPr>
  </w:style>
  <w:style w:type="paragraph" w:styleId="13">
    <w:name w:val="Plain Text"/>
    <w:basedOn w:val="1"/>
    <w:link w:val="53"/>
    <w:qFormat/>
    <w:uiPriority w:val="0"/>
    <w:rPr>
      <w:rFonts w:ascii="Calibri" w:hAnsi="Calibri" w:eastAsia="宋体" w:cs="Times New Roman"/>
      <w:sz w:val="28"/>
      <w:szCs w:val="20"/>
    </w:rPr>
  </w:style>
  <w:style w:type="paragraph" w:styleId="14">
    <w:name w:val="Date"/>
    <w:basedOn w:val="1"/>
    <w:next w:val="1"/>
    <w:link w:val="54"/>
    <w:qFormat/>
    <w:uiPriority w:val="99"/>
    <w:pPr>
      <w:ind w:left="2500" w:leftChars="2500"/>
    </w:pPr>
    <w:rPr>
      <w:rFonts w:ascii="Times New Roman" w:hAnsi="Times New Roman" w:eastAsia="宋体" w:cs="Times New Roman"/>
      <w:szCs w:val="20"/>
    </w:rPr>
  </w:style>
  <w:style w:type="paragraph" w:styleId="15">
    <w:name w:val="Body Text Indent 2"/>
    <w:basedOn w:val="1"/>
    <w:link w:val="55"/>
    <w:qFormat/>
    <w:uiPriority w:val="0"/>
    <w:pPr>
      <w:spacing w:line="420" w:lineRule="exact"/>
      <w:ind w:firstLine="525"/>
    </w:pPr>
    <w:rPr>
      <w:rFonts w:ascii="宋体" w:hAnsi="Times New Roman" w:eastAsia="宋体" w:cs="Times New Roman"/>
      <w:szCs w:val="20"/>
    </w:rPr>
  </w:style>
  <w:style w:type="paragraph" w:styleId="16">
    <w:name w:val="Balloon Text"/>
    <w:basedOn w:val="1"/>
    <w:link w:val="56"/>
    <w:qFormat/>
    <w:uiPriority w:val="99"/>
    <w:rPr>
      <w:rFonts w:ascii="Times New Roman" w:hAnsi="Times New Roman" w:eastAsia="宋体" w:cs="Times New Roman"/>
      <w:sz w:val="18"/>
      <w:szCs w:val="18"/>
    </w:rPr>
  </w:style>
  <w:style w:type="paragraph" w:styleId="17">
    <w:name w:val="footer"/>
    <w:basedOn w:val="1"/>
    <w:link w:val="41"/>
    <w:unhideWhenUsed/>
    <w:qFormat/>
    <w:uiPriority w:val="0"/>
    <w:pPr>
      <w:tabs>
        <w:tab w:val="center" w:pos="4153"/>
        <w:tab w:val="right" w:pos="8306"/>
      </w:tabs>
      <w:snapToGrid w:val="0"/>
      <w:jc w:val="left"/>
    </w:pPr>
    <w:rPr>
      <w:sz w:val="18"/>
      <w:szCs w:val="18"/>
    </w:rPr>
  </w:style>
  <w:style w:type="paragraph" w:styleId="18">
    <w:name w:val="header"/>
    <w:basedOn w:val="1"/>
    <w:link w:val="40"/>
    <w:unhideWhenUsed/>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rPr>
      <w:rFonts w:ascii="Times New Roman" w:hAnsi="Times New Roman" w:eastAsia="宋体" w:cs="Times New Roman"/>
      <w:szCs w:val="20"/>
    </w:rPr>
  </w:style>
  <w:style w:type="paragraph" w:styleId="20">
    <w:name w:val="Subtitle"/>
    <w:basedOn w:val="1"/>
    <w:next w:val="1"/>
    <w:link w:val="57"/>
    <w:qFormat/>
    <w:uiPriority w:val="11"/>
    <w:pPr>
      <w:spacing w:before="240" w:after="60" w:line="312" w:lineRule="auto"/>
      <w:jc w:val="center"/>
      <w:outlineLvl w:val="1"/>
    </w:pPr>
    <w:rPr>
      <w:rFonts w:ascii="Cambria" w:hAnsi="Cambria" w:eastAsia="楷体_GB2312" w:cs="Times New Roman"/>
      <w:b/>
      <w:bCs/>
      <w:kern w:val="28"/>
      <w:sz w:val="32"/>
      <w:szCs w:val="32"/>
    </w:rPr>
  </w:style>
  <w:style w:type="paragraph" w:styleId="21">
    <w:name w:val="Normal (Web)"/>
    <w:basedOn w:val="1"/>
    <w:qFormat/>
    <w:uiPriority w:val="99"/>
    <w:pPr>
      <w:widowControl/>
      <w:spacing w:before="100" w:beforeAutospacing="1" w:after="100" w:afterAutospacing="1"/>
      <w:jc w:val="left"/>
    </w:pPr>
    <w:rPr>
      <w:rFonts w:ascii="宋体" w:hAnsi="Times New Roman" w:eastAsia="宋体" w:cs="宋体"/>
      <w:kern w:val="0"/>
      <w:sz w:val="24"/>
      <w:szCs w:val="24"/>
    </w:rPr>
  </w:style>
  <w:style w:type="paragraph" w:styleId="22">
    <w:name w:val="annotation subject"/>
    <w:basedOn w:val="10"/>
    <w:next w:val="10"/>
    <w:link w:val="58"/>
    <w:unhideWhenUsed/>
    <w:qFormat/>
    <w:uiPriority w:val="99"/>
    <w:rPr>
      <w:b/>
      <w:bCs/>
    </w:r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qFormat/>
    <w:uiPriority w:val="0"/>
    <w:rPr>
      <w:b/>
      <w:bCs/>
      <w:vanish/>
    </w:rPr>
  </w:style>
  <w:style w:type="character" w:styleId="27">
    <w:name w:val="page number"/>
    <w:qFormat/>
    <w:uiPriority w:val="0"/>
  </w:style>
  <w:style w:type="character" w:styleId="28">
    <w:name w:val="FollowedHyperlink"/>
    <w:qFormat/>
    <w:uiPriority w:val="99"/>
    <w:rPr>
      <w:color w:val="000000"/>
      <w:u w:val="none"/>
    </w:rPr>
  </w:style>
  <w:style w:type="character" w:styleId="29">
    <w:name w:val="Emphasis"/>
    <w:qFormat/>
    <w:uiPriority w:val="0"/>
    <w:rPr>
      <w:b/>
      <w:bCs/>
    </w:rPr>
  </w:style>
  <w:style w:type="character" w:styleId="30">
    <w:name w:val="HTML Definition"/>
    <w:qFormat/>
    <w:uiPriority w:val="0"/>
  </w:style>
  <w:style w:type="character" w:styleId="31">
    <w:name w:val="HTML Typewriter"/>
    <w:qFormat/>
    <w:uiPriority w:val="0"/>
    <w:rPr>
      <w:rFonts w:ascii="monospace" w:hAnsi="monospace" w:eastAsia="monospace" w:cs="monospace"/>
      <w:sz w:val="20"/>
      <w:lang w:bidi="ar-SA"/>
    </w:rPr>
  </w:style>
  <w:style w:type="character" w:styleId="32">
    <w:name w:val="HTML Acronym"/>
    <w:qFormat/>
    <w:uiPriority w:val="0"/>
  </w:style>
  <w:style w:type="character" w:styleId="33">
    <w:name w:val="HTML Variable"/>
    <w:qFormat/>
    <w:uiPriority w:val="0"/>
  </w:style>
  <w:style w:type="character" w:styleId="34">
    <w:name w:val="Hyperlink"/>
    <w:qFormat/>
    <w:uiPriority w:val="99"/>
    <w:rPr>
      <w:color w:val="000000"/>
      <w:u w:val="none"/>
    </w:rPr>
  </w:style>
  <w:style w:type="character" w:styleId="35">
    <w:name w:val="HTML Code"/>
    <w:qFormat/>
    <w:uiPriority w:val="0"/>
    <w:rPr>
      <w:rFonts w:ascii="monospace" w:hAnsi="monospace" w:eastAsia="monospace" w:cs="monospace"/>
      <w:sz w:val="20"/>
      <w:lang w:bidi="ar-SA"/>
    </w:rPr>
  </w:style>
  <w:style w:type="character" w:styleId="36">
    <w:name w:val="annotation reference"/>
    <w:unhideWhenUsed/>
    <w:qFormat/>
    <w:uiPriority w:val="99"/>
    <w:rPr>
      <w:sz w:val="21"/>
      <w:szCs w:val="21"/>
    </w:rPr>
  </w:style>
  <w:style w:type="character" w:styleId="37">
    <w:name w:val="HTML Cite"/>
    <w:qFormat/>
    <w:uiPriority w:val="0"/>
  </w:style>
  <w:style w:type="character" w:styleId="38">
    <w:name w:val="HTML Keyboard"/>
    <w:qFormat/>
    <w:uiPriority w:val="0"/>
    <w:rPr>
      <w:rFonts w:ascii="monospace" w:hAnsi="monospace" w:eastAsia="monospace" w:cs="monospace"/>
      <w:sz w:val="20"/>
      <w:lang w:bidi="ar-SA"/>
    </w:rPr>
  </w:style>
  <w:style w:type="character" w:styleId="39">
    <w:name w:val="HTML Sample"/>
    <w:uiPriority w:val="0"/>
    <w:rPr>
      <w:rFonts w:ascii="monospace" w:hAnsi="monospace" w:eastAsia="monospace" w:cs="monospace"/>
      <w:lang w:bidi="ar-SA"/>
    </w:rPr>
  </w:style>
  <w:style w:type="character" w:customStyle="1" w:styleId="40">
    <w:name w:val="页眉 Char"/>
    <w:basedOn w:val="25"/>
    <w:link w:val="18"/>
    <w:uiPriority w:val="0"/>
    <w:rPr>
      <w:sz w:val="18"/>
      <w:szCs w:val="18"/>
    </w:rPr>
  </w:style>
  <w:style w:type="character" w:customStyle="1" w:styleId="41">
    <w:name w:val="页脚 Char"/>
    <w:basedOn w:val="25"/>
    <w:link w:val="17"/>
    <w:uiPriority w:val="99"/>
    <w:rPr>
      <w:sz w:val="18"/>
      <w:szCs w:val="18"/>
    </w:rPr>
  </w:style>
  <w:style w:type="character" w:customStyle="1" w:styleId="42">
    <w:name w:val="标题 1 Char"/>
    <w:basedOn w:val="25"/>
    <w:link w:val="2"/>
    <w:uiPriority w:val="9"/>
    <w:rPr>
      <w:rFonts w:ascii="Times New Roman" w:hAnsi="Times New Roman" w:eastAsia="宋体" w:cs="Times New Roman"/>
      <w:b/>
      <w:bCs/>
      <w:kern w:val="44"/>
      <w:sz w:val="44"/>
      <w:szCs w:val="44"/>
    </w:rPr>
  </w:style>
  <w:style w:type="character" w:customStyle="1" w:styleId="43">
    <w:name w:val="标题 2 Char"/>
    <w:basedOn w:val="25"/>
    <w:link w:val="3"/>
    <w:uiPriority w:val="0"/>
    <w:rPr>
      <w:rFonts w:ascii="Arial" w:hAnsi="Arial" w:eastAsia="宋体" w:cs="Times New Roman"/>
      <w:b/>
      <w:bCs/>
      <w:kern w:val="0"/>
      <w:sz w:val="32"/>
      <w:szCs w:val="44"/>
    </w:rPr>
  </w:style>
  <w:style w:type="character" w:customStyle="1" w:styleId="44">
    <w:name w:val="标题 3 Char"/>
    <w:basedOn w:val="25"/>
    <w:semiHidden/>
    <w:uiPriority w:val="9"/>
    <w:rPr>
      <w:b/>
      <w:bCs/>
      <w:sz w:val="32"/>
      <w:szCs w:val="32"/>
    </w:rPr>
  </w:style>
  <w:style w:type="character" w:customStyle="1" w:styleId="45">
    <w:name w:val="标题 4 Char"/>
    <w:basedOn w:val="25"/>
    <w:link w:val="5"/>
    <w:uiPriority w:val="0"/>
    <w:rPr>
      <w:rFonts w:ascii="Arial" w:hAnsi="Arial" w:eastAsia="黑体" w:cs="Times New Roman"/>
      <w:b/>
      <w:bCs/>
      <w:kern w:val="0"/>
      <w:sz w:val="28"/>
      <w:szCs w:val="28"/>
    </w:rPr>
  </w:style>
  <w:style w:type="character" w:customStyle="1" w:styleId="46">
    <w:name w:val="标题 7 Char"/>
    <w:basedOn w:val="25"/>
    <w:link w:val="7"/>
    <w:uiPriority w:val="0"/>
    <w:rPr>
      <w:rFonts w:ascii="Times New Roman" w:hAnsi="Times New Roman" w:eastAsia="宋体" w:cs="Times New Roman"/>
      <w:b/>
      <w:bCs/>
      <w:sz w:val="24"/>
      <w:szCs w:val="24"/>
    </w:rPr>
  </w:style>
  <w:style w:type="character" w:customStyle="1" w:styleId="47">
    <w:name w:val="正文文本 Char"/>
    <w:basedOn w:val="25"/>
    <w:link w:val="11"/>
    <w:uiPriority w:val="99"/>
    <w:rPr>
      <w:rFonts w:ascii="Times New Roman" w:hAnsi="Times New Roman" w:eastAsia="宋体" w:cs="Times New Roman"/>
      <w:szCs w:val="20"/>
    </w:rPr>
  </w:style>
  <w:style w:type="character" w:customStyle="1" w:styleId="48">
    <w:name w:val="标题 3 Char1"/>
    <w:link w:val="4"/>
    <w:uiPriority w:val="9"/>
    <w:rPr>
      <w:rFonts w:ascii="Times New Roman" w:hAnsi="Times New Roman" w:eastAsia="Cambria Math" w:cs="Times New Roman"/>
      <w:b/>
      <w:sz w:val="24"/>
      <w:szCs w:val="20"/>
    </w:rPr>
  </w:style>
  <w:style w:type="character" w:customStyle="1" w:styleId="49">
    <w:name w:val="正文缩进 Char"/>
    <w:link w:val="6"/>
    <w:qFormat/>
    <w:uiPriority w:val="0"/>
    <w:rPr>
      <w:rFonts w:ascii="Times New Roman" w:hAnsi="Times New Roman" w:eastAsia="宋体" w:cs="Times New Roman"/>
      <w:b/>
      <w:sz w:val="24"/>
      <w:szCs w:val="20"/>
    </w:rPr>
  </w:style>
  <w:style w:type="character" w:customStyle="1" w:styleId="50">
    <w:name w:val="批注文字 Char"/>
    <w:basedOn w:val="25"/>
    <w:link w:val="10"/>
    <w:qFormat/>
    <w:uiPriority w:val="99"/>
    <w:rPr>
      <w:rFonts w:ascii="Times New Roman" w:hAnsi="Times New Roman" w:eastAsia="楷体_GB2312" w:cs="Times New Roman"/>
    </w:rPr>
  </w:style>
  <w:style w:type="character" w:customStyle="1" w:styleId="51">
    <w:name w:val="正文文本缩进 Char"/>
    <w:basedOn w:val="25"/>
    <w:semiHidden/>
    <w:uiPriority w:val="99"/>
  </w:style>
  <w:style w:type="character" w:customStyle="1" w:styleId="52">
    <w:name w:val="正文文本缩进 Char1"/>
    <w:link w:val="12"/>
    <w:uiPriority w:val="99"/>
    <w:rPr>
      <w:rFonts w:ascii="Times New Roman" w:hAnsi="Times New Roman" w:eastAsia="楷体_GB2312" w:cs="Times New Roman"/>
    </w:rPr>
  </w:style>
  <w:style w:type="character" w:customStyle="1" w:styleId="53">
    <w:name w:val="纯文本 Char"/>
    <w:basedOn w:val="25"/>
    <w:link w:val="13"/>
    <w:qFormat/>
    <w:uiPriority w:val="0"/>
    <w:rPr>
      <w:rFonts w:ascii="Calibri" w:hAnsi="Calibri" w:eastAsia="宋体" w:cs="Times New Roman"/>
      <w:sz w:val="28"/>
      <w:szCs w:val="20"/>
    </w:rPr>
  </w:style>
  <w:style w:type="character" w:customStyle="1" w:styleId="54">
    <w:name w:val="日期 Char"/>
    <w:basedOn w:val="25"/>
    <w:link w:val="14"/>
    <w:uiPriority w:val="99"/>
    <w:rPr>
      <w:rFonts w:ascii="Times New Roman" w:hAnsi="Times New Roman" w:eastAsia="宋体" w:cs="Times New Roman"/>
      <w:szCs w:val="20"/>
    </w:rPr>
  </w:style>
  <w:style w:type="character" w:customStyle="1" w:styleId="55">
    <w:name w:val="正文文本缩进 2 Char"/>
    <w:basedOn w:val="25"/>
    <w:link w:val="15"/>
    <w:uiPriority w:val="0"/>
    <w:rPr>
      <w:rFonts w:ascii="宋体" w:hAnsi="Times New Roman" w:eastAsia="宋体" w:cs="Times New Roman"/>
      <w:szCs w:val="20"/>
    </w:rPr>
  </w:style>
  <w:style w:type="character" w:customStyle="1" w:styleId="56">
    <w:name w:val="批注框文本 Char"/>
    <w:basedOn w:val="25"/>
    <w:link w:val="16"/>
    <w:uiPriority w:val="99"/>
    <w:rPr>
      <w:rFonts w:ascii="Times New Roman" w:hAnsi="Times New Roman" w:eastAsia="宋体" w:cs="Times New Roman"/>
      <w:sz w:val="18"/>
      <w:szCs w:val="18"/>
    </w:rPr>
  </w:style>
  <w:style w:type="character" w:customStyle="1" w:styleId="57">
    <w:name w:val="副标题 Char"/>
    <w:basedOn w:val="25"/>
    <w:link w:val="20"/>
    <w:qFormat/>
    <w:uiPriority w:val="11"/>
    <w:rPr>
      <w:rFonts w:ascii="Cambria" w:hAnsi="Cambria" w:eastAsia="楷体_GB2312" w:cs="Times New Roman"/>
      <w:b/>
      <w:bCs/>
      <w:kern w:val="28"/>
      <w:sz w:val="32"/>
      <w:szCs w:val="32"/>
    </w:rPr>
  </w:style>
  <w:style w:type="character" w:customStyle="1" w:styleId="58">
    <w:name w:val="批注主题 Char"/>
    <w:basedOn w:val="50"/>
    <w:link w:val="22"/>
    <w:uiPriority w:val="99"/>
    <w:rPr>
      <w:rFonts w:ascii="Times New Roman" w:hAnsi="Times New Roman" w:eastAsia="楷体_GB2312" w:cs="Times New Roman"/>
      <w:b/>
      <w:bCs/>
    </w:rPr>
  </w:style>
  <w:style w:type="paragraph" w:styleId="59">
    <w:name w:val="List Paragraph"/>
    <w:basedOn w:val="1"/>
    <w:qFormat/>
    <w:uiPriority w:val="0"/>
    <w:pPr>
      <w:ind w:firstLine="200" w:firstLineChars="200"/>
    </w:pPr>
    <w:rPr>
      <w:rFonts w:ascii="Times New Roman" w:hAnsi="Times New Roman" w:eastAsia="宋体" w:cs="Times New Roman"/>
      <w:szCs w:val="24"/>
    </w:rPr>
  </w:style>
  <w:style w:type="paragraph" w:customStyle="1" w:styleId="60">
    <w:name w:val="Table Paragraph"/>
    <w:basedOn w:val="1"/>
    <w:uiPriority w:val="0"/>
    <w:rPr>
      <w:rFonts w:ascii="Times New Roman" w:hAnsi="Times New Roman" w:eastAsia="宋体" w:cs="Times New Roman"/>
      <w:szCs w:val="20"/>
    </w:rPr>
  </w:style>
  <w:style w:type="paragraph" w:customStyle="1" w:styleId="61">
    <w:name w:val="样式 标题 1 + 非加粗 黑色"/>
    <w:basedOn w:val="2"/>
    <w:uiPriority w:val="0"/>
    <w:pPr>
      <w:jc w:val="center"/>
    </w:pPr>
    <w:rPr>
      <w:bCs w:val="0"/>
      <w:color w:val="000000"/>
      <w:sz w:val="48"/>
    </w:rPr>
  </w:style>
  <w:style w:type="paragraph" w:customStyle="1" w:styleId="62">
    <w:name w:val="正文_1"/>
    <w:uiPriority w:val="0"/>
    <w:pPr>
      <w:widowControl w:val="0"/>
      <w:jc w:val="both"/>
    </w:pPr>
    <w:rPr>
      <w:rFonts w:ascii="等线" w:hAnsi="等线" w:eastAsia="宋体" w:cs="Times New Roman"/>
      <w:kern w:val="2"/>
      <w:sz w:val="21"/>
      <w:szCs w:val="22"/>
      <w:lang w:val="en-US" w:eastAsia="zh-CN" w:bidi="ar-SA"/>
    </w:rPr>
  </w:style>
  <w:style w:type="paragraph" w:customStyle="1" w:styleId="63">
    <w:name w:val="样式 标题 2 + 黑色 行距: 1.5 倍行距"/>
    <w:basedOn w:val="3"/>
    <w:uiPriority w:val="0"/>
    <w:pPr>
      <w:spacing w:line="360" w:lineRule="auto"/>
    </w:pPr>
    <w:rPr>
      <w:rFonts w:ascii="等线 Light" w:hAnsi="等线 Light" w:eastAsia="Calibri" w:cs="Calibri"/>
      <w:color w:val="000000"/>
      <w:szCs w:val="20"/>
    </w:rPr>
  </w:style>
  <w:style w:type="paragraph" w:customStyle="1" w:styleId="64">
    <w:name w:val="Blockquote_1"/>
    <w:basedOn w:val="1"/>
    <w:uiPriority w:val="0"/>
    <w:pPr>
      <w:autoSpaceDE w:val="0"/>
      <w:autoSpaceDN w:val="0"/>
      <w:adjustRightInd w:val="0"/>
      <w:spacing w:before="100" w:after="100"/>
      <w:ind w:left="360" w:right="360"/>
      <w:jc w:val="left"/>
    </w:pPr>
    <w:rPr>
      <w:rFonts w:ascii="Times New Roman" w:hAnsi="Times New Roman" w:eastAsia="宋体" w:cs="Times New Roman"/>
      <w:kern w:val="0"/>
      <w:sz w:val="24"/>
      <w:szCs w:val="20"/>
    </w:rPr>
  </w:style>
  <w:style w:type="paragraph" w:customStyle="1" w:styleId="65">
    <w:name w:val="Default"/>
    <w:qFormat/>
    <w:uiPriority w:val="99"/>
    <w:pPr>
      <w:widowControl w:val="0"/>
      <w:autoSpaceDE w:val="0"/>
      <w:autoSpaceDN w:val="0"/>
      <w:adjustRightInd w:val="0"/>
    </w:pPr>
    <w:rPr>
      <w:rFonts w:ascii="Cambria Math" w:hAnsi="Cambria Math" w:eastAsia="Cambria Math" w:cs="Cambria Math"/>
      <w:color w:val="000000"/>
      <w:sz w:val="24"/>
      <w:szCs w:val="24"/>
      <w:lang w:val="en-US" w:eastAsia="zh-CN" w:bidi="ar-SA"/>
    </w:rPr>
  </w:style>
  <w:style w:type="paragraph" w:customStyle="1" w:styleId="66">
    <w:name w:val="标题 2 + 黑色 行距: 1.5 倍行距"/>
    <w:basedOn w:val="3"/>
    <w:uiPriority w:val="0"/>
    <w:pPr>
      <w:spacing w:line="360" w:lineRule="auto"/>
    </w:pPr>
    <w:rPr>
      <w:rFonts w:ascii="等线 Light" w:hAnsi="等线 Light" w:eastAsia="Calibri" w:cs="Calibri"/>
      <w:bCs w:val="0"/>
      <w:color w:val="000000"/>
      <w:szCs w:val="20"/>
    </w:rPr>
  </w:style>
  <w:style w:type="paragraph" w:customStyle="1" w:styleId="67">
    <w:name w:val="纯文本1"/>
    <w:basedOn w:val="1"/>
    <w:uiPriority w:val="0"/>
    <w:rPr>
      <w:rFonts w:ascii="Calibri" w:hAnsi="Calibri" w:eastAsia="宋体" w:cs="Times New Roman"/>
      <w:sz w:val="28"/>
      <w:szCs w:val="20"/>
    </w:rPr>
  </w:style>
  <w:style w:type="paragraph" w:customStyle="1" w:styleId="68">
    <w:name w:val="Blockquote"/>
    <w:basedOn w:val="1"/>
    <w:uiPriority w:val="0"/>
    <w:pPr>
      <w:autoSpaceDE w:val="0"/>
      <w:autoSpaceDN w:val="0"/>
      <w:adjustRightInd w:val="0"/>
      <w:spacing w:before="100" w:after="100"/>
      <w:ind w:left="360" w:right="360"/>
      <w:jc w:val="left"/>
    </w:pPr>
    <w:rPr>
      <w:rFonts w:ascii="Times New Roman" w:hAnsi="Times New Roman" w:eastAsia="宋体" w:cs="Times New Roman"/>
      <w:kern w:val="0"/>
      <w:sz w:val="24"/>
      <w:szCs w:val="20"/>
    </w:rPr>
  </w:style>
  <w:style w:type="character" w:customStyle="1" w:styleId="69">
    <w:name w:val="style41"/>
    <w:uiPriority w:val="0"/>
    <w:rPr>
      <w:color w:val="0B50A4"/>
    </w:rPr>
  </w:style>
  <w:style w:type="character" w:customStyle="1" w:styleId="70">
    <w:name w:val="标题 1 字符"/>
    <w:uiPriority w:val="9"/>
    <w:rPr>
      <w:b/>
      <w:bCs/>
      <w:kern w:val="44"/>
      <w:sz w:val="44"/>
      <w:szCs w:val="44"/>
    </w:rPr>
  </w:style>
  <w:style w:type="character" w:customStyle="1" w:styleId="71">
    <w:name w:val="列出段落 Char"/>
    <w:link w:val="72"/>
    <w:locked/>
    <w:uiPriority w:val="0"/>
    <w:rPr>
      <w:sz w:val="24"/>
      <w:szCs w:val="24"/>
      <w:lang w:eastAsia="en-US" w:bidi="en-US"/>
    </w:rPr>
  </w:style>
  <w:style w:type="paragraph" w:customStyle="1" w:styleId="72">
    <w:name w:val="列出段落1"/>
    <w:basedOn w:val="1"/>
    <w:link w:val="71"/>
    <w:qFormat/>
    <w:uiPriority w:val="0"/>
    <w:pPr>
      <w:widowControl/>
      <w:ind w:left="720"/>
      <w:contextualSpacing/>
      <w:jc w:val="left"/>
    </w:pPr>
    <w:rPr>
      <w:sz w:val="24"/>
      <w:szCs w:val="24"/>
      <w:lang w:eastAsia="en-US" w:bidi="en-US"/>
    </w:rPr>
  </w:style>
  <w:style w:type="character" w:customStyle="1" w:styleId="73">
    <w:name w:val="font71"/>
    <w:qFormat/>
    <w:uiPriority w:val="0"/>
    <w:rPr>
      <w:rFonts w:hint="eastAsia" w:ascii="仿宋" w:hAnsi="仿宋" w:eastAsia="仿宋" w:cs="仿宋"/>
      <w:color w:val="000000"/>
      <w:kern w:val="0"/>
      <w:sz w:val="22"/>
      <w:szCs w:val="22"/>
      <w:u w:val="none"/>
      <w:lang w:eastAsia="en-US"/>
    </w:rPr>
  </w:style>
  <w:style w:type="character" w:customStyle="1" w:styleId="74">
    <w:name w:val="书籍标题1"/>
    <w:qFormat/>
    <w:uiPriority w:val="33"/>
    <w:rPr>
      <w:b/>
      <w:bCs/>
      <w:smallCaps/>
      <w:spacing w:val="5"/>
    </w:rPr>
  </w:style>
  <w:style w:type="character" w:customStyle="1" w:styleId="75">
    <w:name w:val="纯文本 Char1"/>
    <w:uiPriority w:val="0"/>
    <w:rPr>
      <w:rFonts w:ascii="宋体" w:hAnsi="Courier New" w:eastAsia="宋体"/>
    </w:rPr>
  </w:style>
  <w:style w:type="character" w:customStyle="1" w:styleId="76">
    <w:name w:val="mh-map_new-info"/>
    <w:uiPriority w:val="0"/>
  </w:style>
  <w:style w:type="character" w:customStyle="1" w:styleId="77">
    <w:name w:val="批注文字 Char1"/>
    <w:uiPriority w:val="0"/>
    <w:rPr>
      <w:rFonts w:eastAsia="宋体"/>
      <w:kern w:val="2"/>
      <w:sz w:val="21"/>
    </w:rPr>
  </w:style>
  <w:style w:type="character" w:customStyle="1" w:styleId="78">
    <w:name w:val="正文文本缩进 Char2"/>
    <w:uiPriority w:val="0"/>
    <w:rPr>
      <w:rFonts w:eastAsia="宋体"/>
      <w:kern w:val="2"/>
      <w:sz w:val="21"/>
    </w:rPr>
  </w:style>
  <w:style w:type="paragraph" w:customStyle="1" w:styleId="7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80">
    <w:name w:val="批注主题 Char1"/>
    <w:uiPriority w:val="0"/>
    <w:rPr>
      <w:rFonts w:eastAsia="宋体"/>
      <w:b/>
      <w:bCs/>
      <w:kern w:val="2"/>
      <w:sz w:val="21"/>
    </w:rPr>
  </w:style>
  <w:style w:type="paragraph" w:customStyle="1" w:styleId="81">
    <w:name w:val="普通正文"/>
    <w:basedOn w:val="1"/>
    <w:qFormat/>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 w:type="character" w:customStyle="1" w:styleId="82">
    <w:name w:val="副标题 Char1"/>
    <w:uiPriority w:val="0"/>
    <w:rPr>
      <w:rFonts w:ascii="Cambria" w:hAnsi="Cambria" w:eastAsia="宋体" w:cs="Times New Roman"/>
      <w:b/>
      <w:bCs/>
      <w:kern w:val="28"/>
      <w:sz w:val="32"/>
      <w:szCs w:val="32"/>
    </w:rPr>
  </w:style>
  <w:style w:type="paragraph" w:customStyle="1" w:styleId="83">
    <w:name w:val="_Style 2"/>
    <w:qFormat/>
    <w:uiPriority w:val="0"/>
    <w:rPr>
      <w:rFonts w:ascii="Times New Roman" w:hAnsi="Times New Roman" w:eastAsia="宋体" w:cs="Times New Roman"/>
      <w:sz w:val="22"/>
      <w:szCs w:val="22"/>
      <w:lang w:val="en-US" w:eastAsia="zh-CN" w:bidi="ar-SA"/>
    </w:rPr>
  </w:style>
  <w:style w:type="paragraph" w:customStyle="1" w:styleId="84">
    <w:name w:val="修订1"/>
    <w:semiHidden/>
    <w:qFormat/>
    <w:uiPriority w:val="99"/>
    <w:rPr>
      <w:rFonts w:ascii="Times New Roman" w:hAnsi="Times New Roman" w:eastAsia="宋体" w:cs="Times New Roman"/>
      <w:kern w:val="2"/>
      <w:sz w:val="21"/>
      <w:szCs w:val="22"/>
      <w:lang w:val="en-US" w:eastAsia="zh-CN" w:bidi="ar-SA"/>
    </w:rPr>
  </w:style>
  <w:style w:type="paragraph" w:customStyle="1" w:styleId="85">
    <w:name w:val="Char"/>
    <w:basedOn w:val="1"/>
    <w:qFormat/>
    <w:uiPriority w:val="0"/>
    <w:pPr>
      <w:tabs>
        <w:tab w:val="left" w:pos="360"/>
      </w:tabs>
      <w:ind w:firstLine="200" w:firstLineChars="200"/>
    </w:pPr>
    <w:rPr>
      <w:rFonts w:ascii="Times New Roman" w:hAnsi="Times New Roman" w:eastAsia="宋体" w:cs="Times New Roman"/>
      <w:sz w:val="28"/>
      <w:szCs w:val="30"/>
    </w:rPr>
  </w:style>
  <w:style w:type="character" w:customStyle="1" w:styleId="86">
    <w:name w:val="font21"/>
    <w:qFormat/>
    <w:uiPriority w:val="0"/>
    <w:rPr>
      <w:rFonts w:hint="eastAsia" w:ascii="宋体" w:hAnsi="宋体" w:eastAsia="宋体" w:cs="宋体"/>
      <w:color w:val="000000"/>
      <w:sz w:val="18"/>
      <w:szCs w:val="18"/>
      <w:u w:val="none"/>
    </w:rPr>
  </w:style>
  <w:style w:type="character" w:customStyle="1" w:styleId="87">
    <w:name w:val="font31"/>
    <w:qFormat/>
    <w:uiPriority w:val="0"/>
    <w:rPr>
      <w:rFonts w:hint="eastAsia" w:ascii="宋体" w:hAnsi="宋体" w:eastAsia="宋体" w:cs="宋体"/>
      <w:b/>
      <w:color w:val="000000"/>
      <w:sz w:val="20"/>
      <w:szCs w:val="20"/>
      <w:u w:val="none"/>
    </w:rPr>
  </w:style>
  <w:style w:type="paragraph" w:customStyle="1" w:styleId="88">
    <w:name w:val="列出段落2"/>
    <w:basedOn w:val="1"/>
    <w:qFormat/>
    <w:uiPriority w:val="0"/>
    <w:pPr>
      <w:widowControl/>
      <w:ind w:firstLine="420" w:firstLineChars="200"/>
      <w:jc w:val="left"/>
    </w:pPr>
    <w:rPr>
      <w:rFonts w:ascii="Calibri" w:hAnsi="Calibri" w:eastAsia="宋体" w:cs="Times New Roman"/>
      <w:kern w:val="0"/>
      <w:sz w:val="24"/>
      <w:szCs w:val="24"/>
      <w:lang w:eastAsia="en-US"/>
    </w:rPr>
  </w:style>
  <w:style w:type="paragraph" w:customStyle="1" w:styleId="89">
    <w:name w:val="正文1"/>
    <w:qFormat/>
    <w:uiPriority w:val="99"/>
    <w:pPr>
      <w:widowControl w:val="0"/>
      <w:adjustRightInd w:val="0"/>
      <w:spacing w:line="312" w:lineRule="atLeast"/>
      <w:jc w:val="both"/>
    </w:pPr>
    <w:rPr>
      <w:rFonts w:ascii="宋体" w:hAnsi="Calibri" w:eastAsia="宋体" w:cs="宋体"/>
      <w:sz w:val="34"/>
      <w:szCs w:val="34"/>
      <w:lang w:val="en-US" w:eastAsia="zh-CN" w:bidi="ar-SA"/>
    </w:rPr>
  </w:style>
  <w:style w:type="character" w:customStyle="1" w:styleId="90">
    <w:name w:val="页脚 字符"/>
    <w:qFormat/>
    <w:uiPriority w:val="0"/>
    <w:rPr>
      <w:rFonts w:ascii="Calibri" w:hAnsi="Calibri" w:eastAsia="宋体" w:cs="Times New Roman"/>
      <w:sz w:val="18"/>
      <w:szCs w:val="18"/>
    </w:rPr>
  </w:style>
  <w:style w:type="paragraph" w:customStyle="1" w:styleId="91">
    <w:name w:val="p0"/>
    <w:basedOn w:val="1"/>
    <w:qFormat/>
    <w:uiPriority w:val="0"/>
    <w:pPr>
      <w:widowControl/>
      <w:snapToGrid w:val="0"/>
      <w:jc w:val="left"/>
    </w:pPr>
    <w:rPr>
      <w:rFonts w:ascii="宋体" w:hAnsi="宋体" w:eastAsia="楷体" w:cs="宋体"/>
      <w:kern w:val="0"/>
      <w:sz w:val="20"/>
      <w:szCs w:val="20"/>
    </w:rPr>
  </w:style>
  <w:style w:type="paragraph" w:customStyle="1" w:styleId="92">
    <w:name w:val="列出段落3"/>
    <w:basedOn w:val="1"/>
    <w:qFormat/>
    <w:uiPriority w:val="0"/>
    <w:pPr>
      <w:ind w:firstLine="420" w:firstLineChars="200"/>
    </w:pPr>
    <w:rPr>
      <w:rFonts w:ascii="Times New Roman" w:hAnsi="Times New Roman" w:eastAsia="宋体" w:cs="Times New Roman"/>
      <w:szCs w:val="24"/>
    </w:rPr>
  </w:style>
  <w:style w:type="character" w:customStyle="1" w:styleId="93">
    <w:name w:val="Char Char23"/>
    <w:qFormat/>
    <w:uiPriority w:val="0"/>
    <w:rPr>
      <w:rFonts w:eastAsia="宋体"/>
      <w:b/>
      <w:bCs/>
      <w:kern w:val="44"/>
      <w:sz w:val="32"/>
      <w:szCs w:val="44"/>
      <w:lang w:val="en-US" w:eastAsia="zh-CN" w:bidi="ar-SA"/>
    </w:rPr>
  </w:style>
  <w:style w:type="paragraph" w:customStyle="1" w:styleId="94">
    <w:name w:val="xl65"/>
    <w:basedOn w:val="1"/>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95">
    <w:name w:val="xl6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6">
    <w:name w:val="xl67"/>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9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9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9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4"/>
      <w:szCs w:val="24"/>
    </w:rPr>
  </w:style>
  <w:style w:type="paragraph" w:customStyle="1" w:styleId="100">
    <w:name w:val="xl71"/>
    <w:basedOn w:val="1"/>
    <w:qFormat/>
    <w:uiPriority w:val="0"/>
    <w:pPr>
      <w:widowControl/>
      <w:spacing w:before="100" w:beforeAutospacing="1" w:after="100" w:afterAutospacing="1"/>
      <w:jc w:val="center"/>
    </w:pPr>
    <w:rPr>
      <w:rFonts w:ascii="宋体" w:hAnsi="宋体" w:eastAsia="宋体" w:cs="宋体"/>
      <w:b/>
      <w:bCs/>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543A34-B697-4C4D-92D6-1433E2882C3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51</Pages>
  <Words>5937</Words>
  <Characters>33842</Characters>
  <Lines>282</Lines>
  <Paragraphs>79</Paragraphs>
  <TotalTime>265</TotalTime>
  <ScaleCrop>false</ScaleCrop>
  <LinksUpToDate>false</LinksUpToDate>
  <CharactersWithSpaces>39700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2025-04-17T07:34:00Z</dcterms:created>
  <dc:creator>微软用户</dc:creator>
  <cp:lastModifiedBy>游侠小弟</cp:lastModifiedBy>
  <dcterms:modified xsi:type="dcterms:W3CDTF">2025-06-11T02:11:32Z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eyJoZGlkIjoiNDdjZjU1YjA0OWFjMjk0ZmVkYzQxMzJkYWYyNzE2NzQiLCJ1c2VySWQiOiIzNzEwNjYyMTQifQ==</vt:lpwstr>
  </property>
  <property fmtid="{D5CDD505-2E9C-101B-9397-08002B2CF9AE}" pid="3" name="KSOProductBuildVer">
    <vt:lpwstr>2052-11.1.0.9740</vt:lpwstr>
  </property>
  <property fmtid="{D5CDD505-2E9C-101B-9397-08002B2CF9AE}" pid="4" name="ICV">
    <vt:lpwstr>FC6B6DEB97EE411E8FB3EC89DA238CC9_12</vt:lpwstr>
  </property>
</Properties>
</file>